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567" w:rsidRDefault="00AC6567" w:rsidP="00AF0FC6">
      <w:pPr>
        <w:autoSpaceDE w:val="0"/>
        <w:autoSpaceDN w:val="0"/>
        <w:adjustRightInd w:val="0"/>
        <w:spacing w:before="480" w:after="0" w:line="240" w:lineRule="auto"/>
        <w:rPr>
          <w:rFonts w:eastAsia="SimSun"/>
          <w:b/>
          <w:bCs/>
          <w:sz w:val="28"/>
          <w:szCs w:val="28"/>
        </w:rPr>
      </w:pPr>
      <w:r w:rsidRPr="00AF0FFA">
        <w:rPr>
          <w:rFonts w:eastAsia="SimSun"/>
          <w:b/>
          <w:bCs/>
          <w:noProof/>
          <w:sz w:val="28"/>
          <w:szCs w:val="2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75pt;height:52.5pt;visibility:visible">
            <v:imagedata r:id="rId7" o:title=""/>
          </v:shape>
        </w:pict>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Pr>
          <w:rFonts w:eastAsia="SimSun"/>
          <w:b/>
          <w:bCs/>
          <w:sz w:val="28"/>
          <w:szCs w:val="28"/>
        </w:rPr>
        <w:tab/>
      </w:r>
      <w:r w:rsidRPr="0080195B">
        <w:rPr>
          <w:noProof/>
          <w:lang w:eastAsia="fr-FR"/>
        </w:rPr>
        <w:pict>
          <v:shape id="Picture 2" o:spid="_x0000_i1026" type="#_x0000_t75" alt="vignette drapeau:Maroc" style="width:75.75pt;height:51.75pt;visibility:visible">
            <v:imagedata r:id="rId8" r:href="rId9"/>
          </v:shape>
        </w:pict>
      </w:r>
    </w:p>
    <w:p w:rsidR="00AC6567" w:rsidRPr="004B449B" w:rsidRDefault="00AC6567" w:rsidP="00AF0FC6">
      <w:pPr>
        <w:autoSpaceDE w:val="0"/>
        <w:autoSpaceDN w:val="0"/>
        <w:adjustRightInd w:val="0"/>
        <w:spacing w:before="480" w:after="0" w:line="240" w:lineRule="auto"/>
        <w:rPr>
          <w:rFonts w:ascii="Arial" w:eastAsia="SimSun" w:hAnsi="Arial" w:cs="Arial"/>
          <w:b/>
          <w:bCs/>
          <w:sz w:val="16"/>
          <w:szCs w:val="16"/>
        </w:rPr>
      </w:pPr>
      <w:r w:rsidRPr="004B449B">
        <w:rPr>
          <w:rFonts w:ascii="Arial" w:eastAsia="SimSun" w:hAnsi="Arial" w:cs="Arial"/>
          <w:b/>
          <w:bCs/>
          <w:sz w:val="16"/>
          <w:szCs w:val="16"/>
        </w:rPr>
        <w:t>Financé par l’Union Européenne</w:t>
      </w:r>
    </w:p>
    <w:p w:rsidR="00AC6567" w:rsidRDefault="00AC6567" w:rsidP="00AF0FC6">
      <w:pPr>
        <w:autoSpaceDE w:val="0"/>
        <w:autoSpaceDN w:val="0"/>
        <w:adjustRightInd w:val="0"/>
        <w:spacing w:before="480" w:after="0" w:line="240" w:lineRule="auto"/>
        <w:rPr>
          <w:rFonts w:eastAsia="SimSun"/>
          <w:b/>
          <w:bCs/>
          <w:sz w:val="28"/>
          <w:szCs w:val="28"/>
        </w:rPr>
      </w:pPr>
    </w:p>
    <w:p w:rsidR="00AC6567" w:rsidRPr="003A5FEF" w:rsidRDefault="00AC6567" w:rsidP="00AF0FC6">
      <w:pPr>
        <w:autoSpaceDE w:val="0"/>
        <w:autoSpaceDN w:val="0"/>
        <w:adjustRightInd w:val="0"/>
        <w:spacing w:before="480" w:after="0" w:line="240" w:lineRule="auto"/>
        <w:jc w:val="center"/>
        <w:rPr>
          <w:rFonts w:ascii="Arial" w:eastAsia="SimSun" w:hAnsi="Arial" w:cs="Arial"/>
          <w:b/>
          <w:bCs/>
          <w:sz w:val="26"/>
          <w:szCs w:val="26"/>
        </w:rPr>
      </w:pPr>
      <w:r w:rsidRPr="003A5FEF">
        <w:rPr>
          <w:rFonts w:ascii="Arial" w:eastAsia="SimSun" w:hAnsi="Arial" w:cs="Arial"/>
          <w:b/>
          <w:bCs/>
          <w:sz w:val="26"/>
          <w:szCs w:val="26"/>
        </w:rPr>
        <w:t>ROYAUME DU MAROC</w:t>
      </w:r>
    </w:p>
    <w:p w:rsidR="00AC6567" w:rsidRPr="003A5FEF" w:rsidRDefault="00AC6567" w:rsidP="00AF0FC6">
      <w:pPr>
        <w:autoSpaceDE w:val="0"/>
        <w:autoSpaceDN w:val="0"/>
        <w:adjustRightInd w:val="0"/>
        <w:spacing w:before="480" w:after="0" w:line="240" w:lineRule="auto"/>
        <w:jc w:val="center"/>
        <w:rPr>
          <w:rFonts w:ascii="Arial" w:eastAsia="SimSun" w:hAnsi="Arial" w:cs="Arial"/>
          <w:b/>
          <w:bCs/>
          <w:sz w:val="26"/>
          <w:szCs w:val="26"/>
        </w:rPr>
      </w:pPr>
      <w:r w:rsidRPr="003A5FEF">
        <w:rPr>
          <w:rFonts w:ascii="Arial" w:eastAsia="SimSun" w:hAnsi="Arial" w:cs="Arial"/>
          <w:b/>
          <w:bCs/>
          <w:sz w:val="26"/>
          <w:szCs w:val="26"/>
        </w:rPr>
        <w:t>Programme « REUSSIR LE STATUT AVANCE »</w:t>
      </w:r>
    </w:p>
    <w:p w:rsidR="00AC6567" w:rsidRPr="003A5FEF" w:rsidRDefault="00AC6567" w:rsidP="00AF0FC6">
      <w:pPr>
        <w:autoSpaceDE w:val="0"/>
        <w:autoSpaceDN w:val="0"/>
        <w:adjustRightInd w:val="0"/>
        <w:spacing w:before="480" w:after="0" w:line="240" w:lineRule="auto"/>
        <w:jc w:val="center"/>
        <w:rPr>
          <w:rFonts w:ascii="Arial" w:eastAsia="SimSun" w:hAnsi="Arial"/>
          <w:sz w:val="26"/>
          <w:szCs w:val="26"/>
        </w:rPr>
      </w:pPr>
      <w:r w:rsidRPr="003A5FEF">
        <w:rPr>
          <w:rFonts w:ascii="Arial" w:eastAsia="SimSun" w:hAnsi="Arial" w:cs="Arial"/>
          <w:b/>
          <w:bCs/>
          <w:sz w:val="26"/>
          <w:szCs w:val="26"/>
        </w:rPr>
        <w:t>Projet n° ENPI/2011/022-778</w:t>
      </w:r>
    </w:p>
    <w:p w:rsidR="00AC6567" w:rsidRPr="003A5FEF" w:rsidRDefault="00AC6567" w:rsidP="00AF0FC6">
      <w:pPr>
        <w:spacing w:after="0" w:line="240" w:lineRule="auto"/>
        <w:jc w:val="center"/>
        <w:rPr>
          <w:rFonts w:ascii="Arial" w:hAnsi="Arial" w:cs="Arial"/>
          <w:b/>
          <w:bCs/>
          <w:sz w:val="26"/>
          <w:szCs w:val="26"/>
        </w:rPr>
      </w:pPr>
    </w:p>
    <w:p w:rsidR="00AC6567" w:rsidRPr="003A5FEF" w:rsidRDefault="00AC6567" w:rsidP="00AF0FC6">
      <w:pPr>
        <w:spacing w:after="0" w:line="240" w:lineRule="auto"/>
        <w:jc w:val="center"/>
        <w:rPr>
          <w:rFonts w:ascii="Arial" w:hAnsi="Arial" w:cs="Arial"/>
          <w:b/>
          <w:bCs/>
          <w:sz w:val="26"/>
          <w:szCs w:val="26"/>
        </w:rPr>
      </w:pPr>
    </w:p>
    <w:p w:rsidR="00AC6567" w:rsidRDefault="00AC6567" w:rsidP="00AF0FC6">
      <w:pPr>
        <w:spacing w:after="0" w:line="240" w:lineRule="auto"/>
        <w:jc w:val="center"/>
        <w:rPr>
          <w:rFonts w:ascii="Times New Roman" w:hAnsi="Times New Roman" w:cs="Times New Roman"/>
          <w:b/>
          <w:bCs/>
          <w:sz w:val="24"/>
          <w:szCs w:val="24"/>
        </w:rPr>
      </w:pPr>
    </w:p>
    <w:p w:rsidR="00AC6567" w:rsidRPr="00563D11" w:rsidRDefault="00AC6567" w:rsidP="00AF0FC6">
      <w:pPr>
        <w:autoSpaceDE w:val="0"/>
        <w:autoSpaceDN w:val="0"/>
        <w:adjustRightInd w:val="0"/>
        <w:spacing w:before="120" w:after="120" w:line="240" w:lineRule="auto"/>
        <w:jc w:val="center"/>
        <w:rPr>
          <w:rFonts w:eastAsia="SimSun"/>
          <w:b/>
          <w:bCs/>
          <w:sz w:val="28"/>
          <w:szCs w:val="28"/>
        </w:rPr>
      </w:pPr>
      <w:r w:rsidRPr="00563D11">
        <w:rPr>
          <w:rFonts w:eastAsia="SimSun"/>
          <w:b/>
          <w:bCs/>
          <w:sz w:val="28"/>
          <w:szCs w:val="28"/>
        </w:rPr>
        <w:t>FICHE DE JUMELAGE</w:t>
      </w:r>
    </w:p>
    <w:p w:rsidR="00AC6567" w:rsidRDefault="00AC6567" w:rsidP="00AF0FC6">
      <w:pPr>
        <w:spacing w:after="0" w:line="240" w:lineRule="auto"/>
        <w:jc w:val="center"/>
        <w:rPr>
          <w:rFonts w:ascii="Times New Roman" w:hAnsi="Times New Roman" w:cs="Times New Roman"/>
          <w:b/>
          <w:bCs/>
          <w:sz w:val="24"/>
          <w:szCs w:val="24"/>
        </w:rPr>
      </w:pPr>
    </w:p>
    <w:p w:rsidR="00AC6567" w:rsidRDefault="00AC6567" w:rsidP="00AF0FC6">
      <w:pPr>
        <w:spacing w:after="0" w:line="240" w:lineRule="auto"/>
        <w:jc w:val="center"/>
        <w:rPr>
          <w:rFonts w:ascii="Times New Roman" w:hAnsi="Times New Roman" w:cs="Times New Roman"/>
          <w:b/>
          <w:bCs/>
          <w:sz w:val="24"/>
          <w:szCs w:val="24"/>
        </w:rPr>
      </w:pPr>
    </w:p>
    <w:p w:rsidR="00AC6567" w:rsidRDefault="00AC6567" w:rsidP="00AF0FC6">
      <w:pPr>
        <w:spacing w:after="0" w:line="240" w:lineRule="auto"/>
        <w:jc w:val="center"/>
        <w:rPr>
          <w:rFonts w:ascii="Times New Roman" w:hAnsi="Times New Roman" w:cs="Times New Roman"/>
          <w:b/>
          <w:bCs/>
          <w:sz w:val="24"/>
          <w:szCs w:val="24"/>
        </w:rPr>
      </w:pPr>
    </w:p>
    <w:p w:rsidR="00AC6567" w:rsidRPr="00111ECC" w:rsidRDefault="00AC6567" w:rsidP="00AF0FC6">
      <w:pPr>
        <w:spacing w:after="0" w:line="240" w:lineRule="auto"/>
        <w:jc w:val="center"/>
        <w:rPr>
          <w:rFonts w:ascii="Times New Roman" w:hAnsi="Times New Roman" w:cs="Times New Roman"/>
          <w:b/>
          <w:bCs/>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6"/>
      </w:tblGrid>
      <w:tr w:rsidR="00AC6567" w:rsidRPr="00AF0FFA">
        <w:tc>
          <w:tcPr>
            <w:tcW w:w="9286" w:type="dxa"/>
            <w:shd w:val="clear" w:color="auto" w:fill="DDD9C3"/>
          </w:tcPr>
          <w:p w:rsidR="00AC6567" w:rsidRPr="00AF0FFA" w:rsidRDefault="00AC6567" w:rsidP="00AF0FFA">
            <w:pPr>
              <w:spacing w:after="0" w:line="240" w:lineRule="auto"/>
              <w:jc w:val="center"/>
              <w:rPr>
                <w:b/>
                <w:bCs/>
                <w:sz w:val="26"/>
                <w:szCs w:val="26"/>
              </w:rPr>
            </w:pPr>
          </w:p>
          <w:p w:rsidR="00AC6567" w:rsidRPr="00AF0FFA" w:rsidRDefault="00AC6567" w:rsidP="00AF0FFA">
            <w:pPr>
              <w:spacing w:after="0" w:line="240" w:lineRule="auto"/>
              <w:jc w:val="center"/>
              <w:rPr>
                <w:rFonts w:ascii="Times New Roman" w:hAnsi="Times New Roman" w:cs="Times New Roman"/>
                <w:b/>
                <w:bCs/>
                <w:sz w:val="26"/>
                <w:szCs w:val="26"/>
              </w:rPr>
            </w:pPr>
            <w:r w:rsidRPr="00AF0FFA">
              <w:rPr>
                <w:b/>
                <w:bCs/>
                <w:sz w:val="26"/>
                <w:szCs w:val="26"/>
              </w:rPr>
              <w:t>Gouvernance et Gestion Intégrée des Ressources en Eau au Maroc</w:t>
            </w:r>
            <w:r w:rsidRPr="00AF0FFA">
              <w:rPr>
                <w:rFonts w:ascii="Times New Roman" w:hAnsi="Times New Roman" w:cs="Times New Roman"/>
                <w:b/>
                <w:bCs/>
                <w:sz w:val="26"/>
                <w:szCs w:val="26"/>
              </w:rPr>
              <w:t xml:space="preserve"> </w:t>
            </w:r>
          </w:p>
          <w:p w:rsidR="00AC6567" w:rsidRPr="00AF0FFA" w:rsidRDefault="00AC6567" w:rsidP="00AF0FFA">
            <w:pPr>
              <w:spacing w:after="0" w:line="240" w:lineRule="auto"/>
              <w:jc w:val="center"/>
              <w:rPr>
                <w:rFonts w:ascii="Times New Roman" w:hAnsi="Times New Roman" w:cs="Times New Roman"/>
                <w:b/>
                <w:bCs/>
                <w:sz w:val="26"/>
                <w:szCs w:val="26"/>
              </w:rPr>
            </w:pPr>
          </w:p>
        </w:tc>
      </w:tr>
    </w:tbl>
    <w:p w:rsidR="00AC6567" w:rsidRDefault="00AC6567" w:rsidP="00AF0FC6">
      <w:pPr>
        <w:spacing w:after="0" w:line="240" w:lineRule="auto"/>
        <w:jc w:val="center"/>
        <w:rPr>
          <w:rFonts w:ascii="Times New Roman" w:hAnsi="Times New Roman" w:cs="Times New Roman"/>
          <w:b/>
          <w:bCs/>
          <w:sz w:val="24"/>
          <w:szCs w:val="24"/>
        </w:rPr>
      </w:pPr>
    </w:p>
    <w:p w:rsidR="00AC6567" w:rsidRPr="00563D11" w:rsidRDefault="00AC6567" w:rsidP="00AF0FC6">
      <w:pPr>
        <w:autoSpaceDE w:val="0"/>
        <w:autoSpaceDN w:val="0"/>
        <w:adjustRightInd w:val="0"/>
        <w:spacing w:before="120" w:after="120" w:line="240" w:lineRule="auto"/>
        <w:jc w:val="center"/>
        <w:rPr>
          <w:rFonts w:eastAsia="SimSun"/>
          <w:b/>
          <w:bCs/>
          <w:sz w:val="24"/>
          <w:szCs w:val="24"/>
        </w:rPr>
      </w:pPr>
    </w:p>
    <w:p w:rsidR="00AC6567" w:rsidRDefault="00AC6567" w:rsidP="00AF0FC6">
      <w:pPr>
        <w:spacing w:after="0" w:line="240" w:lineRule="auto"/>
        <w:jc w:val="center"/>
        <w:rPr>
          <w:rFonts w:ascii="Arial" w:hAnsi="Arial" w:cs="Arial"/>
          <w:b/>
          <w:bCs/>
          <w:sz w:val="28"/>
          <w:szCs w:val="28"/>
        </w:rPr>
      </w:pPr>
    </w:p>
    <w:p w:rsidR="00AC6567" w:rsidRDefault="00AC6567" w:rsidP="00AF0FC6">
      <w:pPr>
        <w:spacing w:before="120" w:after="120" w:line="240" w:lineRule="auto"/>
        <w:rPr>
          <w:rFonts w:eastAsia="SimSun"/>
          <w:sz w:val="24"/>
          <w:szCs w:val="24"/>
        </w:rPr>
      </w:pPr>
    </w:p>
    <w:p w:rsidR="00AC6567" w:rsidRDefault="00AC6567" w:rsidP="00AF0FC6">
      <w:pPr>
        <w:spacing w:before="120" w:after="120" w:line="240" w:lineRule="auto"/>
        <w:rPr>
          <w:rFonts w:eastAsia="SimSun"/>
          <w:sz w:val="24"/>
          <w:szCs w:val="24"/>
        </w:rPr>
      </w:pPr>
    </w:p>
    <w:p w:rsidR="00AC6567" w:rsidRDefault="00AC6567" w:rsidP="00AF0FC6">
      <w:pPr>
        <w:spacing w:before="120" w:after="120" w:line="240" w:lineRule="auto"/>
        <w:rPr>
          <w:rFonts w:eastAsia="SimSun"/>
          <w:sz w:val="24"/>
          <w:szCs w:val="24"/>
        </w:rPr>
      </w:pPr>
    </w:p>
    <w:p w:rsidR="00AC6567" w:rsidRDefault="00AC6567" w:rsidP="00AF0FC6">
      <w:pPr>
        <w:spacing w:before="120" w:after="120" w:line="240" w:lineRule="auto"/>
        <w:rPr>
          <w:rFonts w:eastAsia="SimSun"/>
          <w:sz w:val="24"/>
          <w:szCs w:val="24"/>
        </w:rPr>
      </w:pPr>
    </w:p>
    <w:p w:rsidR="00AC6567" w:rsidRDefault="00AC6567" w:rsidP="00AF0FC6">
      <w:pPr>
        <w:spacing w:before="120" w:after="120" w:line="240" w:lineRule="auto"/>
        <w:rPr>
          <w:rFonts w:eastAsia="SimSun"/>
          <w:sz w:val="24"/>
          <w:szCs w:val="24"/>
        </w:rPr>
      </w:pPr>
    </w:p>
    <w:p w:rsidR="00AC6567" w:rsidRDefault="00AC6567" w:rsidP="00AF0FC6">
      <w:pPr>
        <w:spacing w:before="120" w:after="120" w:line="240" w:lineRule="auto"/>
        <w:rPr>
          <w:rFonts w:eastAsia="SimSun"/>
          <w:sz w:val="24"/>
          <w:szCs w:val="24"/>
        </w:rPr>
      </w:pPr>
    </w:p>
    <w:p w:rsidR="00AC6567" w:rsidRPr="002667E7" w:rsidRDefault="00AC6567" w:rsidP="00483478">
      <w:pPr>
        <w:spacing w:before="120" w:after="120" w:line="240" w:lineRule="auto"/>
        <w:rPr>
          <w:rFonts w:eastAsia="SimSun"/>
          <w:sz w:val="24"/>
          <w:szCs w:val="24"/>
        </w:rPr>
      </w:pPr>
    </w:p>
    <w:p w:rsidR="00AC6567" w:rsidRPr="002667E7" w:rsidRDefault="00AC6567" w:rsidP="00483478">
      <w:pPr>
        <w:spacing w:before="120" w:after="120" w:line="240" w:lineRule="auto"/>
        <w:jc w:val="center"/>
        <w:rPr>
          <w:rFonts w:eastAsia="SimSun"/>
          <w:b/>
          <w:bCs/>
          <w:sz w:val="24"/>
          <w:szCs w:val="24"/>
        </w:rPr>
      </w:pPr>
      <w:r w:rsidRPr="002667E7">
        <w:rPr>
          <w:rFonts w:eastAsia="SimSun"/>
          <w:b/>
          <w:bCs/>
          <w:sz w:val="24"/>
          <w:szCs w:val="24"/>
        </w:rPr>
        <w:t>LISTE DES ACRONYMES UTILISEES</w:t>
      </w:r>
    </w:p>
    <w:p w:rsidR="00AC6567" w:rsidRPr="00155AEB" w:rsidRDefault="00AC6567" w:rsidP="00483478">
      <w:pPr>
        <w:spacing w:before="120" w:after="120" w:line="240" w:lineRule="auto"/>
        <w:rPr>
          <w:rFonts w:eastAsia="SimSu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5"/>
        <w:gridCol w:w="7505"/>
      </w:tblGrid>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ABH</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Agences du Bassin Hydraulique</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CAP-RSA</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Cellule d’accompagnement du programme « Réussir le Statut avancé »</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CRJ</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 xml:space="preserve"> Conseiller (e) Résident du Jumelage</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CoPIL</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Comité de pilotage du projet</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DRPE</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La Direction de la Recherche et de la Planification de l’eau relevant du  Ministère délégué auprès du ministre de l’Energie, des Mines, de l‘Eau et de l’Environnement chargé de l’eau</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DUE</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Délégation de l'Union Européenne au Royaume du Maroc</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GIRE</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lang w:val="fr-BE"/>
              </w:rPr>
              <w:t>Gestion Intégrée des Ressources en Eau</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GIZ</w:t>
            </w:r>
          </w:p>
        </w:tc>
        <w:tc>
          <w:tcPr>
            <w:tcW w:w="7505" w:type="dxa"/>
          </w:tcPr>
          <w:p w:rsidR="00AC6567" w:rsidRPr="00AF0FFA" w:rsidRDefault="00AC6567" w:rsidP="00AF0FFA">
            <w:pPr>
              <w:spacing w:before="120" w:after="120" w:line="240" w:lineRule="auto"/>
              <w:rPr>
                <w:rFonts w:eastAsia="SimSun"/>
                <w:sz w:val="24"/>
                <w:szCs w:val="24"/>
                <w:lang w:val="de-DE"/>
              </w:rPr>
            </w:pPr>
            <w:r w:rsidRPr="00AF0FFA">
              <w:rPr>
                <w:rFonts w:eastAsia="SimSun"/>
                <w:sz w:val="24"/>
                <w:szCs w:val="24"/>
                <w:lang w:val="de-DE"/>
              </w:rPr>
              <w:t>Agence allemande de coopération internationale (</w:t>
            </w:r>
            <w:r w:rsidRPr="00AF0FFA">
              <w:rPr>
                <w:rFonts w:eastAsia="SimSun"/>
                <w:i/>
                <w:iCs/>
                <w:sz w:val="24"/>
                <w:szCs w:val="24"/>
                <w:lang w:val="de-DE"/>
              </w:rPr>
              <w:t>Gesellschaft für Internationale Zusammenarbeit)</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MAEC</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Ministère des Affaires Etrangères et de la Coopération</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MEDA</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Euro - Mediterranean Partnership</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MEF</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Ministère de l'Economie et des Finances</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RSA</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Réussir le Statut Avancé</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SGG</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Secrétariat Général du Gouvernement</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SIG</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Système d'Information Géographique</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SNE</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Stratégie Nationale de l’Eau</w:t>
            </w:r>
          </w:p>
        </w:tc>
      </w:tr>
      <w:tr w:rsidR="00AC6567" w:rsidRPr="00AF0FFA">
        <w:tc>
          <w:tcPr>
            <w:tcW w:w="1555" w:type="dxa"/>
            <w:vAlign w:val="center"/>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UAP</w:t>
            </w:r>
          </w:p>
        </w:tc>
        <w:tc>
          <w:tcPr>
            <w:tcW w:w="7505" w:type="dxa"/>
          </w:tcPr>
          <w:p w:rsidR="00AC6567" w:rsidRPr="00AF0FFA" w:rsidRDefault="00AC6567" w:rsidP="00AF0FFA">
            <w:pPr>
              <w:spacing w:before="120" w:after="120" w:line="240" w:lineRule="auto"/>
              <w:rPr>
                <w:rFonts w:eastAsia="SimSun"/>
                <w:sz w:val="24"/>
                <w:szCs w:val="24"/>
              </w:rPr>
            </w:pPr>
            <w:r w:rsidRPr="00AF0FFA">
              <w:rPr>
                <w:rFonts w:eastAsia="SimSun"/>
                <w:sz w:val="24"/>
                <w:szCs w:val="24"/>
              </w:rPr>
              <w:t>l’Unité d’Appui au Programme d’Appui au Plan d’Action Maroc­UE</w:t>
            </w:r>
          </w:p>
        </w:tc>
      </w:tr>
    </w:tbl>
    <w:p w:rsidR="00AC6567" w:rsidRPr="00155AEB" w:rsidRDefault="00AC6567" w:rsidP="00483478">
      <w:pPr>
        <w:spacing w:before="120" w:after="120" w:line="240" w:lineRule="auto"/>
        <w:rPr>
          <w:rFonts w:eastAsia="SimSun"/>
          <w:sz w:val="24"/>
          <w:szCs w:val="24"/>
        </w:rPr>
      </w:pPr>
    </w:p>
    <w:p w:rsidR="00AC6567" w:rsidRPr="00155AEB" w:rsidRDefault="00AC6567" w:rsidP="00483478">
      <w:pPr>
        <w:spacing w:before="120" w:after="120" w:line="240" w:lineRule="auto"/>
        <w:rPr>
          <w:rFonts w:eastAsia="SimSun"/>
          <w:sz w:val="24"/>
          <w:szCs w:val="24"/>
        </w:rPr>
      </w:pPr>
      <w:r w:rsidRPr="00155AEB">
        <w:rPr>
          <w:rFonts w:eastAsia="SimSun"/>
          <w:sz w:val="24"/>
          <w:szCs w:val="24"/>
        </w:rPr>
        <w:t xml:space="preserve"> </w:t>
      </w:r>
    </w:p>
    <w:p w:rsidR="00AC6567" w:rsidRPr="00155AEB" w:rsidRDefault="00AC6567" w:rsidP="00483478">
      <w:pPr>
        <w:spacing w:before="120" w:after="120" w:line="240" w:lineRule="auto"/>
        <w:rPr>
          <w:rFonts w:eastAsia="SimSun"/>
          <w:sz w:val="24"/>
          <w:szCs w:val="24"/>
        </w:rPr>
      </w:pPr>
      <w:r w:rsidRPr="00155AEB">
        <w:rPr>
          <w:rFonts w:eastAsia="SimSun"/>
          <w:sz w:val="24"/>
          <w:szCs w:val="24"/>
        </w:rPr>
        <w:t xml:space="preserve"> </w:t>
      </w:r>
    </w:p>
    <w:p w:rsidR="00AC6567" w:rsidRPr="00155AEB" w:rsidRDefault="00AC6567" w:rsidP="00483478">
      <w:pPr>
        <w:spacing w:before="120" w:after="120" w:line="240" w:lineRule="auto"/>
        <w:rPr>
          <w:rFonts w:eastAsia="SimSun"/>
          <w:sz w:val="24"/>
          <w:szCs w:val="24"/>
        </w:rPr>
      </w:pPr>
      <w:r w:rsidRPr="00155AEB">
        <w:rPr>
          <w:rFonts w:eastAsia="SimSun"/>
          <w:sz w:val="24"/>
          <w:szCs w:val="24"/>
        </w:rPr>
        <w:t xml:space="preserve"> </w:t>
      </w:r>
    </w:p>
    <w:p w:rsidR="00AC6567" w:rsidRPr="00155AEB" w:rsidRDefault="00AC6567" w:rsidP="00483478">
      <w:pPr>
        <w:spacing w:before="120" w:after="120" w:line="240" w:lineRule="auto"/>
        <w:rPr>
          <w:rFonts w:eastAsia="SimSun"/>
          <w:sz w:val="24"/>
          <w:szCs w:val="24"/>
        </w:rPr>
      </w:pPr>
      <w:r w:rsidRPr="00155AEB">
        <w:rPr>
          <w:rFonts w:eastAsia="SimSun"/>
          <w:sz w:val="24"/>
          <w:szCs w:val="24"/>
        </w:rPr>
        <w:t xml:space="preserve"> </w:t>
      </w:r>
    </w:p>
    <w:p w:rsidR="00AC6567" w:rsidRPr="00155AEB" w:rsidRDefault="00AC6567" w:rsidP="00483478">
      <w:pPr>
        <w:spacing w:before="120" w:after="120" w:line="240" w:lineRule="auto"/>
        <w:rPr>
          <w:rFonts w:eastAsia="SimSun"/>
          <w:sz w:val="24"/>
          <w:szCs w:val="24"/>
        </w:rPr>
      </w:pPr>
      <w:r w:rsidRPr="00155AEB">
        <w:rPr>
          <w:rFonts w:eastAsia="SimSun"/>
          <w:sz w:val="24"/>
          <w:szCs w:val="24"/>
        </w:rPr>
        <w:br w:type="page"/>
      </w:r>
    </w:p>
    <w:p w:rsidR="00AC6567" w:rsidRPr="00155AEB" w:rsidRDefault="00AC6567" w:rsidP="00483478">
      <w:pPr>
        <w:spacing w:before="120" w:after="120" w:line="240" w:lineRule="auto"/>
        <w:rPr>
          <w:rFonts w:eastAsia="SimSun"/>
          <w:sz w:val="24"/>
          <w:szCs w:val="24"/>
        </w:rPr>
      </w:pPr>
      <w:r w:rsidRPr="00155AEB">
        <w:rPr>
          <w:rFonts w:eastAsia="SimSun"/>
          <w:sz w:val="24"/>
          <w:szCs w:val="24"/>
        </w:rPr>
        <w:tab/>
      </w:r>
      <w:r w:rsidRPr="00155AEB">
        <w:rPr>
          <w:rFonts w:eastAsia="SimSun"/>
          <w:sz w:val="24"/>
          <w:szCs w:val="24"/>
        </w:rPr>
        <w:tab/>
      </w:r>
      <w:r w:rsidRPr="00155AEB">
        <w:rPr>
          <w:rFonts w:eastAsia="SimSun"/>
          <w:sz w:val="24"/>
          <w:szCs w:val="24"/>
        </w:rPr>
        <w:tab/>
      </w:r>
      <w:r w:rsidRPr="00155AEB">
        <w:rPr>
          <w:rFonts w:eastAsia="SimSun"/>
          <w:sz w:val="24"/>
          <w:szCs w:val="24"/>
        </w:rPr>
        <w:tab/>
      </w:r>
      <w:r w:rsidRPr="00155AEB">
        <w:rPr>
          <w:rFonts w:eastAsia="SimSun"/>
          <w:sz w:val="24"/>
          <w:szCs w:val="24"/>
        </w:rPr>
        <w:tab/>
      </w:r>
      <w:r w:rsidRPr="00155AEB">
        <w:rPr>
          <w:rFonts w:eastAsia="SimSun"/>
          <w:sz w:val="24"/>
          <w:szCs w:val="24"/>
        </w:rPr>
        <w:tab/>
      </w:r>
    </w:p>
    <w:p w:rsidR="00AC6567" w:rsidRPr="00155AEB" w:rsidRDefault="00AC6567" w:rsidP="00AC6F89">
      <w:pPr>
        <w:pStyle w:val="ListParagraph"/>
        <w:numPr>
          <w:ilvl w:val="0"/>
          <w:numId w:val="3"/>
        </w:numPr>
        <w:autoSpaceDE w:val="0"/>
        <w:autoSpaceDN w:val="0"/>
        <w:adjustRightInd w:val="0"/>
        <w:spacing w:before="120" w:after="120" w:line="240" w:lineRule="auto"/>
        <w:ind w:left="567" w:hanging="567"/>
        <w:outlineLvl w:val="0"/>
        <w:rPr>
          <w:b/>
          <w:bCs/>
          <w:sz w:val="24"/>
          <w:szCs w:val="24"/>
        </w:rPr>
      </w:pPr>
      <w:r w:rsidRPr="00155AEB">
        <w:rPr>
          <w:b/>
          <w:bCs/>
          <w:sz w:val="24"/>
          <w:szCs w:val="24"/>
        </w:rPr>
        <w:t>INFORMATIONS DE BASE</w:t>
      </w:r>
    </w:p>
    <w:p w:rsidR="00AC6567" w:rsidRPr="00155AEB" w:rsidRDefault="00AC6567" w:rsidP="00AC6F89">
      <w:pPr>
        <w:pStyle w:val="ListParagraph"/>
        <w:numPr>
          <w:ilvl w:val="1"/>
          <w:numId w:val="4"/>
        </w:numPr>
        <w:autoSpaceDE w:val="0"/>
        <w:autoSpaceDN w:val="0"/>
        <w:adjustRightInd w:val="0"/>
        <w:spacing w:before="120" w:after="120" w:line="240" w:lineRule="auto"/>
        <w:ind w:left="567" w:hanging="567"/>
        <w:rPr>
          <w:b/>
          <w:bCs/>
          <w:sz w:val="24"/>
          <w:szCs w:val="24"/>
        </w:rPr>
      </w:pPr>
      <w:r w:rsidRPr="00155AEB">
        <w:rPr>
          <w:b/>
          <w:bCs/>
          <w:sz w:val="24"/>
          <w:szCs w:val="24"/>
        </w:rPr>
        <w:t xml:space="preserve">Programme: </w:t>
      </w:r>
      <w:r w:rsidRPr="00155AEB">
        <w:rPr>
          <w:sz w:val="24"/>
          <w:szCs w:val="24"/>
        </w:rPr>
        <w:t>« Réussir le Statut Avancé » (RSA)</w:t>
      </w:r>
    </w:p>
    <w:p w:rsidR="00AC6567" w:rsidRPr="00155AEB" w:rsidRDefault="00AC6567" w:rsidP="00AC6F89">
      <w:pPr>
        <w:pStyle w:val="ListParagraph"/>
        <w:numPr>
          <w:ilvl w:val="1"/>
          <w:numId w:val="4"/>
        </w:numPr>
        <w:autoSpaceDE w:val="0"/>
        <w:autoSpaceDN w:val="0"/>
        <w:adjustRightInd w:val="0"/>
        <w:spacing w:before="120" w:after="120" w:line="240" w:lineRule="auto"/>
        <w:rPr>
          <w:b/>
          <w:bCs/>
          <w:sz w:val="24"/>
          <w:szCs w:val="24"/>
        </w:rPr>
      </w:pPr>
      <w:r w:rsidRPr="00155AEB">
        <w:rPr>
          <w:b/>
          <w:bCs/>
          <w:sz w:val="24"/>
          <w:szCs w:val="24"/>
        </w:rPr>
        <w:t xml:space="preserve">    Numéro de jumelage: </w:t>
      </w:r>
      <w:r w:rsidRPr="00155AEB">
        <w:rPr>
          <w:sz w:val="24"/>
          <w:szCs w:val="24"/>
        </w:rPr>
        <w:t>MA</w:t>
      </w:r>
      <w:r>
        <w:rPr>
          <w:sz w:val="24"/>
          <w:szCs w:val="24"/>
        </w:rPr>
        <w:t>/36</w:t>
      </w:r>
    </w:p>
    <w:p w:rsidR="00AC6567" w:rsidRPr="00155AEB" w:rsidRDefault="00AC6567" w:rsidP="001A2A66">
      <w:pPr>
        <w:pStyle w:val="ListParagraph"/>
        <w:numPr>
          <w:ilvl w:val="1"/>
          <w:numId w:val="4"/>
        </w:numPr>
        <w:autoSpaceDE w:val="0"/>
        <w:autoSpaceDN w:val="0"/>
        <w:adjustRightInd w:val="0"/>
        <w:spacing w:before="120" w:after="120" w:line="240" w:lineRule="auto"/>
        <w:jc w:val="both"/>
        <w:rPr>
          <w:b/>
          <w:bCs/>
          <w:sz w:val="24"/>
          <w:szCs w:val="24"/>
        </w:rPr>
      </w:pPr>
      <w:r w:rsidRPr="00155AEB">
        <w:rPr>
          <w:b/>
          <w:bCs/>
          <w:sz w:val="24"/>
          <w:szCs w:val="24"/>
        </w:rPr>
        <w:t>Intitulé:</w:t>
      </w:r>
      <w:r>
        <w:rPr>
          <w:sz w:val="24"/>
          <w:szCs w:val="24"/>
        </w:rPr>
        <w:t xml:space="preserve"> Gouvernance et G</w:t>
      </w:r>
      <w:r w:rsidRPr="001A2A66">
        <w:rPr>
          <w:sz w:val="24"/>
          <w:szCs w:val="24"/>
        </w:rPr>
        <w:t xml:space="preserve">estion </w:t>
      </w:r>
      <w:r>
        <w:rPr>
          <w:sz w:val="24"/>
          <w:szCs w:val="24"/>
        </w:rPr>
        <w:t>I</w:t>
      </w:r>
      <w:r w:rsidRPr="001A2A66">
        <w:rPr>
          <w:sz w:val="24"/>
          <w:szCs w:val="24"/>
        </w:rPr>
        <w:t xml:space="preserve">ntégrée des </w:t>
      </w:r>
      <w:r>
        <w:rPr>
          <w:sz w:val="24"/>
          <w:szCs w:val="24"/>
        </w:rPr>
        <w:t>R</w:t>
      </w:r>
      <w:r w:rsidRPr="001A2A66">
        <w:rPr>
          <w:sz w:val="24"/>
          <w:szCs w:val="24"/>
        </w:rPr>
        <w:t xml:space="preserve">essources en </w:t>
      </w:r>
      <w:r>
        <w:rPr>
          <w:sz w:val="24"/>
          <w:szCs w:val="24"/>
        </w:rPr>
        <w:t>E</w:t>
      </w:r>
      <w:r w:rsidRPr="001A2A66">
        <w:rPr>
          <w:sz w:val="24"/>
          <w:szCs w:val="24"/>
        </w:rPr>
        <w:t xml:space="preserve">au </w:t>
      </w:r>
      <w:r>
        <w:rPr>
          <w:sz w:val="24"/>
          <w:szCs w:val="24"/>
        </w:rPr>
        <w:t>au Maroc</w:t>
      </w:r>
    </w:p>
    <w:p w:rsidR="00AC6567" w:rsidRPr="00155AEB" w:rsidRDefault="00AC6567" w:rsidP="00AC6F89">
      <w:pPr>
        <w:pStyle w:val="ListParagraph"/>
        <w:numPr>
          <w:ilvl w:val="1"/>
          <w:numId w:val="4"/>
        </w:numPr>
        <w:autoSpaceDE w:val="0"/>
        <w:autoSpaceDN w:val="0"/>
        <w:adjustRightInd w:val="0"/>
        <w:spacing w:before="120" w:after="120" w:line="240" w:lineRule="auto"/>
        <w:ind w:left="567" w:hanging="567"/>
        <w:rPr>
          <w:sz w:val="24"/>
          <w:szCs w:val="24"/>
        </w:rPr>
      </w:pPr>
      <w:r w:rsidRPr="00155AEB">
        <w:rPr>
          <w:b/>
          <w:bCs/>
          <w:sz w:val="24"/>
          <w:szCs w:val="24"/>
        </w:rPr>
        <w:t>Secteur:</w:t>
      </w:r>
      <w:r w:rsidRPr="00155AEB">
        <w:rPr>
          <w:sz w:val="24"/>
          <w:szCs w:val="24"/>
        </w:rPr>
        <w:t xml:space="preserve"> Eau</w:t>
      </w:r>
    </w:p>
    <w:p w:rsidR="00AC6567" w:rsidRPr="00155AEB" w:rsidRDefault="00AC6567" w:rsidP="00AC6F89">
      <w:pPr>
        <w:pStyle w:val="ListParagraph"/>
        <w:numPr>
          <w:ilvl w:val="1"/>
          <w:numId w:val="4"/>
        </w:numPr>
        <w:autoSpaceDE w:val="0"/>
        <w:autoSpaceDN w:val="0"/>
        <w:adjustRightInd w:val="0"/>
        <w:spacing w:before="120" w:after="120" w:line="240" w:lineRule="auto"/>
        <w:ind w:left="567" w:hanging="567"/>
        <w:rPr>
          <w:sz w:val="24"/>
          <w:szCs w:val="24"/>
        </w:rPr>
      </w:pPr>
      <w:r w:rsidRPr="00155AEB">
        <w:rPr>
          <w:b/>
          <w:bCs/>
          <w:sz w:val="24"/>
          <w:szCs w:val="24"/>
        </w:rPr>
        <w:t>Pays bénéficiaire:</w:t>
      </w:r>
      <w:r w:rsidRPr="00155AEB">
        <w:rPr>
          <w:sz w:val="24"/>
          <w:szCs w:val="24"/>
        </w:rPr>
        <w:t xml:space="preserve"> Royaume du Maroc</w:t>
      </w:r>
    </w:p>
    <w:p w:rsidR="00AC6567" w:rsidRPr="00155AEB" w:rsidRDefault="00AC6567" w:rsidP="00AC6F89">
      <w:pPr>
        <w:pStyle w:val="ListParagraph"/>
        <w:numPr>
          <w:ilvl w:val="0"/>
          <w:numId w:val="3"/>
        </w:numPr>
        <w:autoSpaceDE w:val="0"/>
        <w:autoSpaceDN w:val="0"/>
        <w:adjustRightInd w:val="0"/>
        <w:spacing w:before="120" w:after="120" w:line="240" w:lineRule="auto"/>
        <w:ind w:left="567" w:hanging="499"/>
        <w:outlineLvl w:val="0"/>
        <w:rPr>
          <w:b/>
          <w:bCs/>
          <w:sz w:val="24"/>
          <w:szCs w:val="24"/>
        </w:rPr>
      </w:pPr>
      <w:r w:rsidRPr="00155AEB">
        <w:rPr>
          <w:b/>
          <w:bCs/>
          <w:sz w:val="24"/>
          <w:szCs w:val="24"/>
        </w:rPr>
        <w:t>OBJECTIFS</w:t>
      </w:r>
      <w:r w:rsidRPr="00155AEB">
        <w:rPr>
          <w:b/>
          <w:bCs/>
          <w:sz w:val="24"/>
          <w:szCs w:val="24"/>
        </w:rPr>
        <w:tab/>
      </w:r>
    </w:p>
    <w:p w:rsidR="00AC6567" w:rsidRPr="00155AEB" w:rsidRDefault="00AC6567" w:rsidP="00AC6F89">
      <w:pPr>
        <w:pStyle w:val="ListParagraph"/>
        <w:numPr>
          <w:ilvl w:val="1"/>
          <w:numId w:val="5"/>
        </w:numPr>
        <w:autoSpaceDE w:val="0"/>
        <w:autoSpaceDN w:val="0"/>
        <w:adjustRightInd w:val="0"/>
        <w:spacing w:before="120" w:after="120" w:line="240" w:lineRule="auto"/>
        <w:ind w:left="567" w:hanging="501"/>
        <w:rPr>
          <w:b/>
          <w:bCs/>
          <w:sz w:val="24"/>
          <w:szCs w:val="24"/>
        </w:rPr>
      </w:pPr>
      <w:r w:rsidRPr="00155AEB">
        <w:rPr>
          <w:b/>
          <w:bCs/>
          <w:sz w:val="24"/>
          <w:szCs w:val="24"/>
        </w:rPr>
        <w:t>Objectif général :</w:t>
      </w:r>
    </w:p>
    <w:tbl>
      <w:tblPr>
        <w:tblW w:w="0" w:type="auto"/>
        <w:tblInd w:w="-106" w:type="dxa"/>
        <w:tblLayout w:type="fixed"/>
        <w:tblLook w:val="0000"/>
      </w:tblPr>
      <w:tblGrid>
        <w:gridCol w:w="9699"/>
      </w:tblGrid>
      <w:tr w:rsidR="00AC6567" w:rsidRPr="00AF0FFA">
        <w:trPr>
          <w:trHeight w:val="257"/>
        </w:trPr>
        <w:tc>
          <w:tcPr>
            <w:tcW w:w="9699" w:type="dxa"/>
          </w:tcPr>
          <w:p w:rsidR="00AC6567" w:rsidRPr="00AF0FFA" w:rsidRDefault="00AC6567" w:rsidP="00483478">
            <w:pPr>
              <w:autoSpaceDE w:val="0"/>
              <w:autoSpaceDN w:val="0"/>
              <w:adjustRightInd w:val="0"/>
              <w:spacing w:before="120" w:after="120" w:line="240" w:lineRule="auto"/>
              <w:ind w:right="411"/>
              <w:jc w:val="both"/>
              <w:rPr>
                <w:color w:val="000000"/>
                <w:sz w:val="24"/>
                <w:szCs w:val="24"/>
              </w:rPr>
            </w:pPr>
            <w:r w:rsidRPr="00AF0FFA">
              <w:rPr>
                <w:color w:val="000000"/>
                <w:sz w:val="24"/>
                <w:szCs w:val="24"/>
              </w:rPr>
              <w:t>Soutien à l’amélioration de la gouvernance et de la gestion des ressources en eau au Maroc.</w:t>
            </w:r>
          </w:p>
        </w:tc>
      </w:tr>
    </w:tbl>
    <w:p w:rsidR="00AC6567" w:rsidRPr="00E87F91" w:rsidRDefault="00AC6567" w:rsidP="00AC6F89">
      <w:pPr>
        <w:pStyle w:val="ListParagraph"/>
        <w:numPr>
          <w:ilvl w:val="1"/>
          <w:numId w:val="5"/>
        </w:numPr>
        <w:autoSpaceDE w:val="0"/>
        <w:autoSpaceDN w:val="0"/>
        <w:adjustRightInd w:val="0"/>
        <w:spacing w:before="120" w:after="120" w:line="240" w:lineRule="auto"/>
        <w:ind w:left="567" w:hanging="501"/>
        <w:rPr>
          <w:b/>
          <w:bCs/>
          <w:sz w:val="24"/>
          <w:szCs w:val="24"/>
        </w:rPr>
      </w:pPr>
      <w:r w:rsidRPr="00E87F91">
        <w:rPr>
          <w:b/>
          <w:bCs/>
          <w:sz w:val="24"/>
          <w:szCs w:val="24"/>
        </w:rPr>
        <w:t>Objectif spécifique du projet:</w:t>
      </w:r>
    </w:p>
    <w:p w:rsidR="00AC6567" w:rsidRPr="00C05713" w:rsidRDefault="00AC6567" w:rsidP="00C05713">
      <w:pPr>
        <w:autoSpaceDE w:val="0"/>
        <w:autoSpaceDN w:val="0"/>
        <w:adjustRightInd w:val="0"/>
        <w:spacing w:before="120" w:after="120" w:line="240" w:lineRule="auto"/>
        <w:ind w:right="411"/>
        <w:jc w:val="both"/>
        <w:rPr>
          <w:color w:val="000000"/>
          <w:sz w:val="24"/>
          <w:szCs w:val="24"/>
        </w:rPr>
      </w:pPr>
      <w:r>
        <w:rPr>
          <w:color w:val="000000"/>
          <w:sz w:val="24"/>
          <w:szCs w:val="24"/>
        </w:rPr>
        <w:t>R</w:t>
      </w:r>
      <w:r w:rsidRPr="00C05713">
        <w:rPr>
          <w:color w:val="000000"/>
          <w:sz w:val="24"/>
          <w:szCs w:val="24"/>
        </w:rPr>
        <w:t>enforce</w:t>
      </w:r>
      <w:r>
        <w:rPr>
          <w:color w:val="000000"/>
          <w:sz w:val="24"/>
          <w:szCs w:val="24"/>
        </w:rPr>
        <w:t>r</w:t>
      </w:r>
      <w:r w:rsidRPr="00C05713">
        <w:rPr>
          <w:color w:val="000000"/>
          <w:sz w:val="24"/>
          <w:szCs w:val="24"/>
        </w:rPr>
        <w:t xml:space="preserve"> </w:t>
      </w:r>
      <w:r>
        <w:rPr>
          <w:color w:val="000000"/>
          <w:sz w:val="24"/>
          <w:szCs w:val="24"/>
        </w:rPr>
        <w:t>l</w:t>
      </w:r>
      <w:r w:rsidRPr="00C05713">
        <w:rPr>
          <w:color w:val="000000"/>
          <w:sz w:val="24"/>
          <w:szCs w:val="24"/>
        </w:rPr>
        <w:t xml:space="preserve">es capacités institutionnelles, organisationnelles et techniques en matière de </w:t>
      </w:r>
      <w:r>
        <w:rPr>
          <w:color w:val="000000"/>
          <w:sz w:val="24"/>
          <w:szCs w:val="24"/>
        </w:rPr>
        <w:t xml:space="preserve">gouvernance et de </w:t>
      </w:r>
      <w:r w:rsidRPr="00C05713">
        <w:rPr>
          <w:color w:val="000000"/>
          <w:sz w:val="24"/>
          <w:szCs w:val="24"/>
        </w:rPr>
        <w:t>gestion intégrée des ressources en eau du Ministère Délégué auprès du Ministère de l’Energie, des Mines, de l’Eau et de l’Environnement chargé de l’Eau (MEMEE) du Royaume du Maroc</w:t>
      </w:r>
    </w:p>
    <w:p w:rsidR="00AC6567" w:rsidRDefault="00AC6567" w:rsidP="00AC6F89">
      <w:pPr>
        <w:pStyle w:val="ListParagraph"/>
        <w:numPr>
          <w:ilvl w:val="1"/>
          <w:numId w:val="5"/>
        </w:numPr>
        <w:autoSpaceDE w:val="0"/>
        <w:autoSpaceDN w:val="0"/>
        <w:adjustRightInd w:val="0"/>
        <w:spacing w:before="120" w:after="120" w:line="240" w:lineRule="auto"/>
        <w:ind w:left="567" w:hanging="501"/>
        <w:jc w:val="both"/>
        <w:rPr>
          <w:b/>
          <w:bCs/>
          <w:sz w:val="24"/>
          <w:szCs w:val="24"/>
        </w:rPr>
      </w:pPr>
      <w:bookmarkStart w:id="0" w:name="_Toc189106670"/>
      <w:bookmarkStart w:id="1" w:name="_Toc197150104"/>
      <w:r w:rsidRPr="00155AEB">
        <w:rPr>
          <w:b/>
          <w:bCs/>
          <w:sz w:val="24"/>
          <w:szCs w:val="24"/>
        </w:rPr>
        <w:t>Contribution au plan national de développement, à l’</w:t>
      </w:r>
      <w:bookmarkEnd w:id="0"/>
      <w:bookmarkEnd w:id="1"/>
      <w:r w:rsidRPr="00155AEB">
        <w:rPr>
          <w:b/>
          <w:bCs/>
          <w:sz w:val="24"/>
          <w:szCs w:val="24"/>
        </w:rPr>
        <w:t>Accord d’association, à la Feuille de route du Statut avancé, au Plan d’Action de la Politique Européenne de Voisinage :</w:t>
      </w:r>
    </w:p>
    <w:p w:rsidR="00AC6567" w:rsidRDefault="00AC6567" w:rsidP="00C05713">
      <w:pPr>
        <w:pStyle w:val="ListParagraph"/>
        <w:autoSpaceDE w:val="0"/>
        <w:autoSpaceDN w:val="0"/>
        <w:adjustRightInd w:val="0"/>
        <w:spacing w:before="120" w:after="120" w:line="240" w:lineRule="auto"/>
        <w:ind w:left="567"/>
        <w:jc w:val="both"/>
        <w:rPr>
          <w:b/>
          <w:bCs/>
          <w:sz w:val="24"/>
          <w:szCs w:val="24"/>
        </w:rPr>
      </w:pPr>
    </w:p>
    <w:p w:rsidR="00AC6567" w:rsidRPr="00155AEB" w:rsidRDefault="00AC6567" w:rsidP="009C6512">
      <w:pPr>
        <w:autoSpaceDE w:val="0"/>
        <w:autoSpaceDN w:val="0"/>
        <w:adjustRightInd w:val="0"/>
        <w:spacing w:before="120" w:after="120" w:line="240" w:lineRule="auto"/>
        <w:jc w:val="both"/>
        <w:rPr>
          <w:color w:val="000000"/>
          <w:sz w:val="24"/>
          <w:szCs w:val="24"/>
        </w:rPr>
      </w:pPr>
      <w:r w:rsidRPr="00155AEB">
        <w:rPr>
          <w:color w:val="000000"/>
          <w:sz w:val="24"/>
          <w:szCs w:val="24"/>
        </w:rPr>
        <w:t>Le processus de partenariat entre le Royaume du Maroc et l’Union européenne (UE) a évolué selon un rythme ascendant, progressif et soutenu depuis la signature, en 1969, du premier Accord commercial Maroc-CEE. Cette relation s’est développée davantage pour donner lieu à la conclusion d’un nouvel Accord en 1976, renégocié en 1988, qui couvre à la fois les volets commerciaux, économiques, sociaux et financiers.</w:t>
      </w:r>
    </w:p>
    <w:p w:rsidR="00AC6567" w:rsidRPr="00155AEB" w:rsidRDefault="00AC6567" w:rsidP="009C6512">
      <w:pPr>
        <w:autoSpaceDE w:val="0"/>
        <w:autoSpaceDN w:val="0"/>
        <w:adjustRightInd w:val="0"/>
        <w:spacing w:before="120" w:after="120" w:line="240" w:lineRule="auto"/>
        <w:jc w:val="both"/>
        <w:rPr>
          <w:color w:val="000000"/>
          <w:sz w:val="24"/>
          <w:szCs w:val="24"/>
        </w:rPr>
      </w:pPr>
      <w:r w:rsidRPr="00155AEB">
        <w:rPr>
          <w:color w:val="000000"/>
          <w:sz w:val="24"/>
          <w:szCs w:val="24"/>
        </w:rPr>
        <w:t xml:space="preserve">La coopération entre le Royaume du Maroc et l’UE s’est, par la suite, élargie avec la signature d’un Accord d’association, le 26 février 1996, entré en vigueur en mars 2000. L’Accord d’association s’inscrit dans le cadre de la Déclaration de Barcelone de 1995 établissant le Partenariat Euro-méditerranéen, renouvelée par l’Union pour la Méditerranée en 2008 et visant la réalisation des trois objectifs fondamentaux suivants: (i) renforcement du dialogue politique et de sécurité, (ii) prospérité partagée et (iii) rapprochement entre les peuples au moyen d’un partenariat social, culturel et humain. L’accord qui régit les relations entre les deux parties à ce jour, englobe donc les dimensions politique et sécuritaire, économique, commerciale et socioculturelle. </w:t>
      </w:r>
    </w:p>
    <w:p w:rsidR="00AC6567" w:rsidRPr="00155AEB" w:rsidRDefault="00AC6567" w:rsidP="009C6512">
      <w:pPr>
        <w:autoSpaceDE w:val="0"/>
        <w:autoSpaceDN w:val="0"/>
        <w:adjustRightInd w:val="0"/>
        <w:spacing w:before="120" w:after="120" w:line="240" w:lineRule="auto"/>
        <w:jc w:val="both"/>
        <w:rPr>
          <w:color w:val="000000"/>
          <w:sz w:val="24"/>
          <w:szCs w:val="24"/>
        </w:rPr>
      </w:pPr>
      <w:r w:rsidRPr="00155AEB">
        <w:rPr>
          <w:color w:val="000000"/>
          <w:sz w:val="24"/>
          <w:szCs w:val="24"/>
        </w:rPr>
        <w:t xml:space="preserve">Ainsi, les relations entre le Maroc et l’Union européenne (UE) se sont développées progressivement et de manière soutenue vers un véritable partenariat UE-Maroc, faisant du Maroc un partenaire privilégié. </w:t>
      </w:r>
    </w:p>
    <w:p w:rsidR="00AC6567" w:rsidRPr="00155AEB" w:rsidRDefault="00AC6567" w:rsidP="009C6512">
      <w:pPr>
        <w:autoSpaceDE w:val="0"/>
        <w:autoSpaceDN w:val="0"/>
        <w:adjustRightInd w:val="0"/>
        <w:spacing w:before="120" w:after="120" w:line="240" w:lineRule="auto"/>
        <w:jc w:val="both"/>
        <w:rPr>
          <w:color w:val="000000"/>
          <w:sz w:val="24"/>
          <w:szCs w:val="24"/>
        </w:rPr>
      </w:pPr>
      <w:r w:rsidRPr="00155AEB">
        <w:rPr>
          <w:color w:val="000000"/>
          <w:sz w:val="24"/>
          <w:szCs w:val="24"/>
        </w:rPr>
        <w:t xml:space="preserve">Ce partenariat s’est renforcé, encore davantage, dans le cadre de la Politique Européenne de Voisinage (PEV), lancée par l’UE en 2003, à travers l’adoption en juillet 2005 d’un Plan d’action Maroc-UE, lequel a permis une utilisation plus ciblée des instruments mis à disposition par l’Accord d’association et a appuyé l’objectif marocain d’une intégration plus forte des structures économiques et sociales marocaines à celles de l’Union. </w:t>
      </w:r>
    </w:p>
    <w:p w:rsidR="00AC6567" w:rsidRPr="00155AEB" w:rsidRDefault="00AC6567" w:rsidP="009C6512">
      <w:pPr>
        <w:autoSpaceDE w:val="0"/>
        <w:autoSpaceDN w:val="0"/>
        <w:adjustRightInd w:val="0"/>
        <w:spacing w:before="120" w:after="120" w:line="240" w:lineRule="auto"/>
        <w:jc w:val="both"/>
        <w:rPr>
          <w:color w:val="000000"/>
          <w:sz w:val="24"/>
          <w:szCs w:val="24"/>
        </w:rPr>
      </w:pPr>
      <w:r w:rsidRPr="00155AEB">
        <w:rPr>
          <w:color w:val="000000"/>
          <w:sz w:val="24"/>
          <w:szCs w:val="24"/>
        </w:rPr>
        <w:t>Dans cette perspective, le Maroc et l’Union européenne ont approuvé, en octobre 2008, le document conjoint sur le Statut avancé (i) qui a vocation à consolider les acquis des relations bilatérales entre le Royaume du Maroc et l’Union européenne et à promouvoir de nouvelles initiatives ambitieuses et novatrices et (ii) qui constitue une feuille de route de ce que le Maroc devra notamment entreprendre, dans les années qui viennent, avec l’appui de l’UE, afin d’arrimer son économie et son dispositif législatif et réglementaire à l’Acquis de l’Union et lui permettre ainsi l’accès au Marché intérieur européen. Les progrès vers la bonne gouvernance et les réformes politiques et socio-économiques constituent des principes communs pour la mise en œuvre du Statut avancé. Ce partenariat requiert le renforcement des engagements pour la mise en œuvre des réformes majeures initiées par le Maroc et leur approfondissement, aussi bien sur le plan politique, en priorité en matière de démocratie, des droits de l’homme et du respect de l’Etat de droit, que sur le plan économique et social, notamment en vue de progrès tangibles en matière de développement humain.</w:t>
      </w:r>
    </w:p>
    <w:p w:rsidR="00AC6567" w:rsidRPr="00155AEB" w:rsidRDefault="00AC6567" w:rsidP="009C6512">
      <w:pPr>
        <w:autoSpaceDE w:val="0"/>
        <w:autoSpaceDN w:val="0"/>
        <w:adjustRightInd w:val="0"/>
        <w:spacing w:before="120" w:after="120" w:line="240" w:lineRule="auto"/>
        <w:jc w:val="both"/>
        <w:rPr>
          <w:color w:val="000000"/>
          <w:sz w:val="24"/>
          <w:szCs w:val="24"/>
        </w:rPr>
      </w:pPr>
      <w:r w:rsidRPr="00155AEB">
        <w:rPr>
          <w:color w:val="000000"/>
          <w:sz w:val="24"/>
          <w:szCs w:val="24"/>
        </w:rPr>
        <w:t>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w:t>
      </w:r>
      <w:r w:rsidRPr="009C6512">
        <w:t xml:space="preserve"> </w:t>
      </w:r>
      <w:r>
        <w:t xml:space="preserve">Parmi ces engagements, il est à signaler celui d'adopter, d'ici 2015, un </w:t>
      </w:r>
      <w:r w:rsidRPr="000C6A5A">
        <w:rPr>
          <w:b/>
          <w:bCs/>
        </w:rPr>
        <w:t>programme national de convergence règlementaire</w:t>
      </w:r>
      <w:r>
        <w:t xml:space="preserve"> basé sur une évaluation de l'écart existant, la définition de priorités de convergence et d'un calendrier de mise en œuvre.</w:t>
      </w:r>
      <w:r w:rsidRPr="00155AEB">
        <w:rPr>
          <w:color w:val="000000"/>
          <w:sz w:val="24"/>
          <w:szCs w:val="24"/>
        </w:rPr>
        <w:t xml:space="preserve"> Dans cet esprit, le Maroc et l’UE ont conçu un nouveau « </w:t>
      </w:r>
      <w:r w:rsidRPr="00155AEB">
        <w:rPr>
          <w:i/>
          <w:iCs/>
          <w:color w:val="000000"/>
          <w:sz w:val="24"/>
          <w:szCs w:val="24"/>
        </w:rPr>
        <w:t>Plan d’action Maroc pour la mise en œuvre du Statut avancé</w:t>
      </w:r>
      <w:r w:rsidRPr="00155AEB">
        <w:rPr>
          <w:color w:val="000000"/>
          <w:sz w:val="24"/>
          <w:szCs w:val="24"/>
        </w:rPr>
        <w:t xml:space="preserve"> » ambitieux et multidimensionnel qui constitue</w:t>
      </w:r>
      <w:r>
        <w:rPr>
          <w:color w:val="000000"/>
          <w:sz w:val="24"/>
          <w:szCs w:val="24"/>
        </w:rPr>
        <w:t>, notamment, une</w:t>
      </w:r>
      <w:r w:rsidRPr="00155AEB">
        <w:rPr>
          <w:color w:val="000000"/>
          <w:sz w:val="24"/>
          <w:szCs w:val="24"/>
        </w:rPr>
        <w:t xml:space="preserve"> feuille de route de la coopération bilatérale pour la période 2013-2017. Le Plan d’action a été adopté par le 11ème Conseil d’association UE-Maroc, organisé le 17 décembre 2013 à Bruxelles.</w:t>
      </w:r>
    </w:p>
    <w:p w:rsidR="00AC6567" w:rsidRPr="00155AEB" w:rsidRDefault="00AC6567" w:rsidP="009C6512">
      <w:pPr>
        <w:autoSpaceDE w:val="0"/>
        <w:autoSpaceDN w:val="0"/>
        <w:adjustRightInd w:val="0"/>
        <w:spacing w:before="120" w:after="120" w:line="240" w:lineRule="auto"/>
        <w:jc w:val="both"/>
        <w:rPr>
          <w:color w:val="000000"/>
          <w:sz w:val="24"/>
          <w:szCs w:val="24"/>
        </w:rPr>
      </w:pPr>
      <w:r w:rsidRPr="00155AEB">
        <w:rPr>
          <w:color w:val="000000"/>
          <w:sz w:val="24"/>
          <w:szCs w:val="24"/>
        </w:rPr>
        <w:t xml:space="preserve">Afin de contribuer au renforcement et à l’approfondissement du partenariat entre l’Union européenne et le Maroc, tel que proposé dans la Feuille de route du Statut avancé, une série de secteurs et d’activités prioritaires ont été conjointement identifiés et font l’objet de soutien dans le cadre du programme multisectoriel appelé « </w:t>
      </w:r>
      <w:r w:rsidRPr="00155AEB">
        <w:rPr>
          <w:i/>
          <w:iCs/>
          <w:color w:val="000000"/>
          <w:sz w:val="24"/>
          <w:szCs w:val="24"/>
        </w:rPr>
        <w:t>Réussir le Statut avancé</w:t>
      </w:r>
      <w:r w:rsidRPr="00155AEB">
        <w:rPr>
          <w:color w:val="000000"/>
          <w:sz w:val="24"/>
          <w:szCs w:val="24"/>
        </w:rPr>
        <w:t xml:space="preserve"> » (d’un montant de 180 millions d’euros, PIN 2011-2013). En effet, ce programme a pour objectif spécifique d’accompagner la mise en œuvre des principales réformes inscrites dans la Feuille de route du Statut avancé, du Plan d’action de la Politique de Voisinage, ainsi que des conclusions du Sommet UE-Maroc tenu à Grenade le 7 mars 2010, en privilégiant l’appui au processus de convergence réglementaire marocain vers l’Acquis de l’Union.</w:t>
      </w:r>
    </w:p>
    <w:p w:rsidR="00AC6567" w:rsidRPr="00155AEB" w:rsidRDefault="00AC6567" w:rsidP="009C6512">
      <w:pPr>
        <w:autoSpaceDE w:val="0"/>
        <w:autoSpaceDN w:val="0"/>
        <w:adjustRightInd w:val="0"/>
        <w:spacing w:before="120" w:after="120" w:line="240" w:lineRule="auto"/>
        <w:jc w:val="both"/>
        <w:rPr>
          <w:b/>
          <w:bCs/>
          <w:color w:val="000000"/>
          <w:sz w:val="24"/>
          <w:szCs w:val="24"/>
        </w:rPr>
      </w:pPr>
      <w:r w:rsidRPr="00155AEB">
        <w:rPr>
          <w:color w:val="000000"/>
          <w:sz w:val="24"/>
          <w:szCs w:val="24"/>
        </w:rPr>
        <w:t>Le présent jumelage est financé par le volet coopération technique du programme RSA. Le bénéficiaire direct de ce projet est le Département de l’Eau du Ministère de l’Energie, des Mines, de l’Eau et de l’Environnement (MEMEE) du Royaume du Maroc</w:t>
      </w:r>
      <w:r w:rsidRPr="00155AEB">
        <w:rPr>
          <w:b/>
          <w:bCs/>
          <w:color w:val="000000"/>
          <w:sz w:val="24"/>
          <w:szCs w:val="24"/>
        </w:rPr>
        <w:t xml:space="preserve"> </w:t>
      </w:r>
    </w:p>
    <w:p w:rsidR="00AC6567" w:rsidRPr="00155AEB" w:rsidRDefault="00AC6567" w:rsidP="00C05713">
      <w:pPr>
        <w:pStyle w:val="ListParagraph"/>
        <w:autoSpaceDE w:val="0"/>
        <w:autoSpaceDN w:val="0"/>
        <w:adjustRightInd w:val="0"/>
        <w:spacing w:before="120" w:after="120" w:line="240" w:lineRule="auto"/>
        <w:ind w:left="567"/>
        <w:jc w:val="both"/>
        <w:rPr>
          <w:b/>
          <w:bCs/>
          <w:sz w:val="24"/>
          <w:szCs w:val="24"/>
        </w:rPr>
      </w:pP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2.3.1 Contribution au plan national de développement</w:t>
      </w:r>
    </w:p>
    <w:p w:rsidR="00AC6567" w:rsidRPr="00E87F91" w:rsidRDefault="00AC6567" w:rsidP="00483478">
      <w:pPr>
        <w:autoSpaceDE w:val="0"/>
        <w:autoSpaceDN w:val="0"/>
        <w:adjustRightInd w:val="0"/>
        <w:spacing w:before="120" w:after="120" w:line="240" w:lineRule="auto"/>
        <w:jc w:val="both"/>
        <w:rPr>
          <w:sz w:val="24"/>
          <w:szCs w:val="24"/>
        </w:rPr>
      </w:pPr>
      <w:r w:rsidRPr="00155AEB">
        <w:rPr>
          <w:color w:val="000000"/>
          <w:sz w:val="24"/>
          <w:szCs w:val="24"/>
        </w:rPr>
        <w:t>Le Royaume du Maroc, en dépit du succès des politiques ambitieuses de mobilisation de l’eau menées depuis plusieurs décennies, n’a pas d’autre choix aujourd’hui que d’adapter et renouveler sa stratégie afin d’éviter, à l’avenir, des défaillances dans la satisfa</w:t>
      </w:r>
      <w:r>
        <w:rPr>
          <w:color w:val="000000"/>
          <w:sz w:val="24"/>
          <w:szCs w:val="24"/>
        </w:rPr>
        <w:t>ction de ses besoins en eau</w:t>
      </w:r>
      <w:r w:rsidRPr="00155AEB">
        <w:rPr>
          <w:color w:val="000000"/>
          <w:sz w:val="24"/>
          <w:szCs w:val="24"/>
        </w:rPr>
        <w:t xml:space="preserve">. Cette évolution, qui eût été simplement nécessaire du fait de l’expansion démographique et économique du Maroc, est rendue impérieuse par les changements climatiques qui impactent de manière significative la disponibilité des ressources en </w:t>
      </w:r>
      <w:r w:rsidRPr="00155AEB">
        <w:rPr>
          <w:sz w:val="24"/>
          <w:szCs w:val="24"/>
        </w:rPr>
        <w:t>eau. C’est</w:t>
      </w:r>
      <w:r w:rsidRPr="00155AEB">
        <w:rPr>
          <w:color w:val="000000"/>
          <w:sz w:val="24"/>
          <w:szCs w:val="24"/>
        </w:rPr>
        <w:t xml:space="preserve"> ainsi qu’une nouvelle impulsion visant le renforcement de la politique de l’eau a été amorcée dans le cadre d’une nouvelle stratégie de l’eau, ayant pour o</w:t>
      </w:r>
      <w:r w:rsidRPr="00155AEB">
        <w:rPr>
          <w:sz w:val="24"/>
          <w:szCs w:val="24"/>
        </w:rPr>
        <w:t>bjectifs</w:t>
      </w:r>
      <w:r>
        <w:rPr>
          <w:sz w:val="24"/>
          <w:szCs w:val="24"/>
        </w:rPr>
        <w:t> :</w:t>
      </w:r>
    </w:p>
    <w:p w:rsidR="00AC6567" w:rsidRPr="00E87F91" w:rsidRDefault="00AC6567" w:rsidP="00CA5CFB">
      <w:pPr>
        <w:pStyle w:val="ListParagraph"/>
        <w:numPr>
          <w:ilvl w:val="0"/>
          <w:numId w:val="8"/>
        </w:numPr>
        <w:autoSpaceDE w:val="0"/>
        <w:autoSpaceDN w:val="0"/>
        <w:adjustRightInd w:val="0"/>
        <w:spacing w:before="120" w:after="120" w:line="240" w:lineRule="auto"/>
        <w:ind w:left="360"/>
        <w:jc w:val="both"/>
        <w:rPr>
          <w:sz w:val="24"/>
          <w:szCs w:val="24"/>
        </w:rPr>
      </w:pPr>
      <w:r w:rsidRPr="00E87F91">
        <w:rPr>
          <w:sz w:val="24"/>
          <w:szCs w:val="24"/>
        </w:rPr>
        <w:t>Satisfaire les besoins en eau des différents secteurs et accompagner le développement des stratégies sectorielles notamment le plan Maroc Vert, vision 2020 du tourisme…</w:t>
      </w:r>
      <w:r>
        <w:rPr>
          <w:sz w:val="24"/>
          <w:szCs w:val="24"/>
        </w:rPr>
        <w:t> ;</w:t>
      </w:r>
    </w:p>
    <w:p w:rsidR="00AC6567" w:rsidRPr="00E87F91" w:rsidRDefault="00AC6567" w:rsidP="00CA5CFB">
      <w:pPr>
        <w:pStyle w:val="ListParagraph"/>
        <w:numPr>
          <w:ilvl w:val="0"/>
          <w:numId w:val="8"/>
        </w:numPr>
        <w:autoSpaceDE w:val="0"/>
        <w:autoSpaceDN w:val="0"/>
        <w:adjustRightInd w:val="0"/>
        <w:spacing w:before="120" w:after="120" w:line="240" w:lineRule="auto"/>
        <w:ind w:left="360" w:right="-2"/>
        <w:jc w:val="both"/>
        <w:rPr>
          <w:sz w:val="24"/>
          <w:szCs w:val="24"/>
        </w:rPr>
      </w:pPr>
      <w:r w:rsidRPr="00E87F91">
        <w:rPr>
          <w:sz w:val="24"/>
          <w:szCs w:val="24"/>
        </w:rPr>
        <w:t>Réorienter la politique de l’eau vers une gestion coordonnée et intégrée de la demande et de la ressource en eau;</w:t>
      </w:r>
    </w:p>
    <w:p w:rsidR="00AC6567" w:rsidRPr="00E87F91" w:rsidRDefault="00AC6567" w:rsidP="00CA5CFB">
      <w:pPr>
        <w:pStyle w:val="ListParagraph"/>
        <w:numPr>
          <w:ilvl w:val="0"/>
          <w:numId w:val="8"/>
        </w:numPr>
        <w:autoSpaceDE w:val="0"/>
        <w:autoSpaceDN w:val="0"/>
        <w:adjustRightInd w:val="0"/>
        <w:spacing w:before="120" w:after="120" w:line="240" w:lineRule="auto"/>
        <w:ind w:left="360" w:right="-2"/>
        <w:jc w:val="both"/>
        <w:rPr>
          <w:sz w:val="24"/>
          <w:szCs w:val="24"/>
        </w:rPr>
      </w:pPr>
      <w:r w:rsidRPr="00E87F91">
        <w:rPr>
          <w:sz w:val="24"/>
          <w:szCs w:val="24"/>
        </w:rPr>
        <w:t>Assurer le développement durable à travers la promotion d’une gestion intégrée, décentralisée et participative des ressources en eau</w:t>
      </w:r>
      <w:r>
        <w:rPr>
          <w:sz w:val="24"/>
          <w:szCs w:val="24"/>
        </w:rPr>
        <w:t>.</w:t>
      </w:r>
    </w:p>
    <w:p w:rsidR="00AC6567" w:rsidRPr="00E87F91" w:rsidRDefault="00AC6567" w:rsidP="00CA5CFB">
      <w:pPr>
        <w:autoSpaceDE w:val="0"/>
        <w:autoSpaceDN w:val="0"/>
        <w:adjustRightInd w:val="0"/>
        <w:spacing w:before="120" w:after="120" w:line="240" w:lineRule="auto"/>
        <w:jc w:val="both"/>
        <w:rPr>
          <w:sz w:val="24"/>
          <w:szCs w:val="24"/>
        </w:rPr>
      </w:pPr>
      <w:r w:rsidRPr="00E87F91">
        <w:rPr>
          <w:sz w:val="24"/>
          <w:szCs w:val="24"/>
        </w:rPr>
        <w:t xml:space="preserve">Cette nouvelle stratégie de l’eau innovante et intégrée repose sur trois piliers: </w:t>
      </w:r>
    </w:p>
    <w:p w:rsidR="00AC6567" w:rsidRPr="00E87F91" w:rsidRDefault="00AC6567" w:rsidP="00CA5CFB">
      <w:pPr>
        <w:pStyle w:val="ListParagraph"/>
        <w:numPr>
          <w:ilvl w:val="0"/>
          <w:numId w:val="9"/>
        </w:numPr>
        <w:jc w:val="both"/>
      </w:pPr>
      <w:r w:rsidRPr="00E87F91">
        <w:t>La gestion de la demande en eau et la valorisation de l’eau</w:t>
      </w:r>
      <w:r>
        <w:t> ;</w:t>
      </w:r>
    </w:p>
    <w:p w:rsidR="00AC6567" w:rsidRPr="002667E7" w:rsidRDefault="00AC6567" w:rsidP="00CA5CFB">
      <w:pPr>
        <w:pStyle w:val="ListParagraph"/>
        <w:numPr>
          <w:ilvl w:val="0"/>
          <w:numId w:val="9"/>
        </w:numPr>
        <w:jc w:val="both"/>
        <w:rPr>
          <w:sz w:val="24"/>
          <w:szCs w:val="24"/>
        </w:rPr>
      </w:pPr>
      <w:r w:rsidRPr="002667E7">
        <w:rPr>
          <w:sz w:val="24"/>
          <w:szCs w:val="24"/>
        </w:rPr>
        <w:t>La gestion et le développement de l’offre</w:t>
      </w:r>
      <w:r>
        <w:rPr>
          <w:sz w:val="24"/>
          <w:szCs w:val="24"/>
        </w:rPr>
        <w:t> ;</w:t>
      </w:r>
    </w:p>
    <w:p w:rsidR="00AC6567" w:rsidRPr="002667E7" w:rsidRDefault="00AC6567" w:rsidP="00CA5CFB">
      <w:pPr>
        <w:pStyle w:val="ListParagraph"/>
        <w:numPr>
          <w:ilvl w:val="0"/>
          <w:numId w:val="9"/>
        </w:numPr>
        <w:jc w:val="both"/>
        <w:rPr>
          <w:sz w:val="24"/>
          <w:szCs w:val="24"/>
        </w:rPr>
      </w:pPr>
      <w:r>
        <w:rPr>
          <w:sz w:val="24"/>
          <w:szCs w:val="24"/>
        </w:rPr>
        <w:t xml:space="preserve"> La p</w:t>
      </w:r>
      <w:r w:rsidRPr="002667E7">
        <w:rPr>
          <w:sz w:val="24"/>
          <w:szCs w:val="24"/>
        </w:rPr>
        <w:t>rotection des ressources en eau et du milieu naturel et adaptation aux changements climatiques</w:t>
      </w:r>
      <w:r>
        <w:rPr>
          <w:sz w:val="24"/>
          <w:szCs w:val="24"/>
        </w:rPr>
        <w:t>.</w:t>
      </w:r>
      <w:r w:rsidRPr="002667E7">
        <w:rPr>
          <w:sz w:val="24"/>
          <w:szCs w:val="24"/>
        </w:rPr>
        <w:t xml:space="preserve"> </w:t>
      </w:r>
    </w:p>
    <w:p w:rsidR="00AC6567" w:rsidRPr="00483478" w:rsidRDefault="00AC6567" w:rsidP="00CA5CFB">
      <w:pPr>
        <w:jc w:val="both"/>
        <w:rPr>
          <w:sz w:val="24"/>
          <w:szCs w:val="24"/>
        </w:rPr>
      </w:pPr>
      <w:r w:rsidRPr="00483478">
        <w:rPr>
          <w:sz w:val="24"/>
          <w:szCs w:val="24"/>
        </w:rPr>
        <w:t>Pour assurer la réussite de la mise en œuvre de cette nouvelle stratégie, des actions  d’accompagnement ont été prévues et portent sur:</w:t>
      </w:r>
    </w:p>
    <w:p w:rsidR="00AC6567" w:rsidRPr="00483478" w:rsidRDefault="00AC6567" w:rsidP="00CA5CFB">
      <w:pPr>
        <w:pStyle w:val="ListParagraph"/>
        <w:numPr>
          <w:ilvl w:val="0"/>
          <w:numId w:val="10"/>
        </w:numPr>
        <w:autoSpaceDE w:val="0"/>
        <w:autoSpaceDN w:val="0"/>
        <w:adjustRightInd w:val="0"/>
        <w:spacing w:before="120" w:after="120" w:line="240" w:lineRule="auto"/>
        <w:ind w:left="360"/>
        <w:jc w:val="both"/>
        <w:rPr>
          <w:strike/>
          <w:sz w:val="24"/>
          <w:szCs w:val="24"/>
        </w:rPr>
      </w:pPr>
      <w:r w:rsidRPr="00483478">
        <w:rPr>
          <w:sz w:val="24"/>
          <w:szCs w:val="24"/>
        </w:rPr>
        <w:t>La poursuite des réformes juridiques, règlementaires et institutionnelles des ressources en eau</w:t>
      </w:r>
    </w:p>
    <w:p w:rsidR="00AC6567" w:rsidRPr="00155AEB" w:rsidRDefault="00AC6567" w:rsidP="00CA5CFB">
      <w:pPr>
        <w:pStyle w:val="ListParagraph"/>
        <w:numPr>
          <w:ilvl w:val="0"/>
          <w:numId w:val="10"/>
        </w:numPr>
        <w:autoSpaceDE w:val="0"/>
        <w:autoSpaceDN w:val="0"/>
        <w:adjustRightInd w:val="0"/>
        <w:spacing w:before="120" w:after="120" w:line="240" w:lineRule="auto"/>
        <w:ind w:left="360"/>
        <w:jc w:val="both"/>
        <w:rPr>
          <w:sz w:val="24"/>
          <w:szCs w:val="24"/>
        </w:rPr>
      </w:pPr>
      <w:r w:rsidRPr="00155AEB">
        <w:rPr>
          <w:sz w:val="24"/>
          <w:szCs w:val="24"/>
        </w:rPr>
        <w:t xml:space="preserve">La modernisation de l’administration et le renforcement des moyens et des compétences </w:t>
      </w:r>
    </w:p>
    <w:p w:rsidR="00AC6567" w:rsidRPr="00E87F91" w:rsidRDefault="00AC6567" w:rsidP="00155AEB">
      <w:pPr>
        <w:autoSpaceDE w:val="0"/>
        <w:autoSpaceDN w:val="0"/>
        <w:adjustRightInd w:val="0"/>
        <w:spacing w:before="120" w:after="120" w:line="240" w:lineRule="auto"/>
        <w:jc w:val="both"/>
        <w:rPr>
          <w:b/>
          <w:bCs/>
          <w:sz w:val="24"/>
          <w:szCs w:val="24"/>
        </w:rPr>
      </w:pPr>
      <w:r w:rsidRPr="00E87F91">
        <w:rPr>
          <w:b/>
          <w:bCs/>
          <w:sz w:val="24"/>
          <w:szCs w:val="24"/>
        </w:rPr>
        <w:t>2.3.2 Contribution à l’Accord d’association, à la Feuille de route du Statut avancé et au Plan d’Action UE-Maroc</w:t>
      </w:r>
    </w:p>
    <w:p w:rsidR="00AC6567" w:rsidRPr="00155AEB" w:rsidRDefault="00AC6567" w:rsidP="00AC6F89">
      <w:pPr>
        <w:pStyle w:val="ListParagraph"/>
        <w:numPr>
          <w:ilvl w:val="0"/>
          <w:numId w:val="11"/>
        </w:numPr>
        <w:spacing w:before="120" w:after="120" w:line="240" w:lineRule="auto"/>
        <w:rPr>
          <w:sz w:val="24"/>
          <w:szCs w:val="24"/>
        </w:rPr>
      </w:pPr>
      <w:r w:rsidRPr="00CA5CFB">
        <w:rPr>
          <w:sz w:val="24"/>
          <w:szCs w:val="24"/>
          <w:u w:val="single"/>
        </w:rPr>
        <w:t>Contribution à l’Accord d’association UE-Maroc</w:t>
      </w:r>
      <w:r w:rsidRPr="00155AEB">
        <w:rPr>
          <w:sz w:val="24"/>
          <w:szCs w:val="24"/>
        </w:rPr>
        <w:t> :</w:t>
      </w:r>
    </w:p>
    <w:p w:rsidR="00AC6567" w:rsidRPr="00E87F91" w:rsidRDefault="00AC6567" w:rsidP="00155AEB">
      <w:pPr>
        <w:spacing w:before="120" w:after="120" w:line="240" w:lineRule="auto"/>
        <w:rPr>
          <w:sz w:val="24"/>
          <w:szCs w:val="24"/>
        </w:rPr>
      </w:pPr>
      <w:r w:rsidRPr="00E87F91">
        <w:rPr>
          <w:sz w:val="24"/>
          <w:szCs w:val="24"/>
        </w:rPr>
        <w:t xml:space="preserve">L’article 48 de </w:t>
      </w:r>
      <w:r>
        <w:rPr>
          <w:sz w:val="24"/>
          <w:szCs w:val="24"/>
        </w:rPr>
        <w:t>l’</w:t>
      </w:r>
      <w:r w:rsidRPr="00E87F91">
        <w:rPr>
          <w:sz w:val="24"/>
          <w:szCs w:val="24"/>
        </w:rPr>
        <w:t>Accord d’association UE-Maroc mentionne que « les parties conviennent de coopérer  (inter-alia) dans le domaine des sols et des eaux ».</w:t>
      </w:r>
    </w:p>
    <w:p w:rsidR="00AC6567" w:rsidRPr="00E87F91" w:rsidRDefault="00AC6567" w:rsidP="00AC6F89">
      <w:pPr>
        <w:pStyle w:val="ListParagraph"/>
        <w:numPr>
          <w:ilvl w:val="0"/>
          <w:numId w:val="11"/>
        </w:numPr>
        <w:spacing w:before="120" w:after="120" w:line="240" w:lineRule="auto"/>
        <w:rPr>
          <w:sz w:val="24"/>
          <w:szCs w:val="24"/>
          <w:u w:val="single"/>
        </w:rPr>
      </w:pPr>
      <w:r w:rsidRPr="00E87F91">
        <w:rPr>
          <w:sz w:val="24"/>
          <w:szCs w:val="24"/>
          <w:u w:val="single"/>
        </w:rPr>
        <w:t>Contribution à la Feuille de route du Statut avancé :</w:t>
      </w:r>
    </w:p>
    <w:p w:rsidR="00AC6567" w:rsidRPr="002667E7" w:rsidRDefault="00AC6567" w:rsidP="00155AEB">
      <w:pPr>
        <w:autoSpaceDE w:val="0"/>
        <w:autoSpaceDN w:val="0"/>
        <w:adjustRightInd w:val="0"/>
        <w:spacing w:before="120" w:after="120" w:line="240" w:lineRule="auto"/>
        <w:jc w:val="both"/>
        <w:rPr>
          <w:sz w:val="24"/>
          <w:szCs w:val="24"/>
        </w:rPr>
      </w:pPr>
      <w:r w:rsidRPr="002667E7">
        <w:rPr>
          <w:sz w:val="24"/>
          <w:szCs w:val="24"/>
        </w:rPr>
        <w:t>La Feuille de route du SA prévoit, dans le secteur de l’eau, un «appui à la mise en œuvre de la</w:t>
      </w:r>
      <w:r>
        <w:rPr>
          <w:sz w:val="24"/>
          <w:szCs w:val="24"/>
        </w:rPr>
        <w:t xml:space="preserve"> s</w:t>
      </w:r>
      <w:r w:rsidRPr="002667E7">
        <w:rPr>
          <w:sz w:val="24"/>
          <w:szCs w:val="24"/>
        </w:rPr>
        <w:t>tratégie renouvelée de développement du secteur de l’eau ».</w:t>
      </w:r>
    </w:p>
    <w:p w:rsidR="00AC6567" w:rsidRPr="002667E7" w:rsidRDefault="00AC6567" w:rsidP="00155AEB">
      <w:pPr>
        <w:pStyle w:val="ListParagraph"/>
        <w:numPr>
          <w:ilvl w:val="0"/>
          <w:numId w:val="1"/>
        </w:numPr>
        <w:spacing w:before="120" w:after="120" w:line="240" w:lineRule="auto"/>
        <w:ind w:left="426" w:hanging="426"/>
        <w:rPr>
          <w:sz w:val="24"/>
          <w:szCs w:val="24"/>
          <w:u w:val="single"/>
        </w:rPr>
      </w:pPr>
      <w:r w:rsidRPr="002667E7">
        <w:rPr>
          <w:sz w:val="24"/>
          <w:szCs w:val="24"/>
          <w:u w:val="single"/>
        </w:rPr>
        <w:t>Contribution au Plan d’Action UE-Maroc 2013-2017</w:t>
      </w:r>
    </w:p>
    <w:p w:rsidR="00AC6567" w:rsidRPr="002667E7" w:rsidRDefault="00AC6567" w:rsidP="00155AEB">
      <w:pPr>
        <w:autoSpaceDE w:val="0"/>
        <w:autoSpaceDN w:val="0"/>
        <w:adjustRightInd w:val="0"/>
        <w:spacing w:before="120" w:after="120" w:line="240" w:lineRule="auto"/>
        <w:jc w:val="both"/>
        <w:rPr>
          <w:strike/>
          <w:sz w:val="24"/>
          <w:szCs w:val="24"/>
        </w:rPr>
      </w:pPr>
      <w:r w:rsidRPr="002667E7">
        <w:rPr>
          <w:sz w:val="24"/>
          <w:szCs w:val="24"/>
        </w:rPr>
        <w:t>Le point 7.4 (environnement &amp; eau) du Plan d’action UE-Maroc 2013-2017 pour la mise en œuvre du Statut avancé prévoit notamment  la « </w:t>
      </w:r>
      <w:r w:rsidRPr="002667E7">
        <w:rPr>
          <w:i/>
          <w:iCs/>
          <w:sz w:val="24"/>
          <w:szCs w:val="24"/>
        </w:rPr>
        <w:t>mise en œuvre de la stratégie nationale de l’eau en vue de consolider les acquis et assurer la gestion intégrée des ressources en eau </w:t>
      </w:r>
      <w:r w:rsidRPr="002667E7">
        <w:rPr>
          <w:sz w:val="24"/>
          <w:szCs w:val="24"/>
        </w:rPr>
        <w:t>».</w:t>
      </w:r>
      <w:r w:rsidRPr="002667E7">
        <w:rPr>
          <w:strike/>
          <w:sz w:val="24"/>
          <w:szCs w:val="24"/>
        </w:rPr>
        <w:t xml:space="preserve"> </w:t>
      </w:r>
    </w:p>
    <w:p w:rsidR="00AC6567" w:rsidRPr="00155AEB" w:rsidRDefault="00AC6567" w:rsidP="00155AEB">
      <w:pPr>
        <w:autoSpaceDE w:val="0"/>
        <w:autoSpaceDN w:val="0"/>
        <w:adjustRightInd w:val="0"/>
        <w:spacing w:before="120" w:after="120" w:line="240" w:lineRule="auto"/>
        <w:jc w:val="both"/>
        <w:rPr>
          <w:sz w:val="24"/>
          <w:szCs w:val="24"/>
        </w:rPr>
      </w:pPr>
      <w:r w:rsidRPr="002667E7">
        <w:rPr>
          <w:sz w:val="24"/>
          <w:szCs w:val="24"/>
        </w:rPr>
        <w:t>Le projet s’intègre parfaitement dans le 3</w:t>
      </w:r>
      <w:r w:rsidRPr="002667E7">
        <w:rPr>
          <w:sz w:val="24"/>
          <w:szCs w:val="24"/>
          <w:vertAlign w:val="superscript"/>
        </w:rPr>
        <w:t xml:space="preserve">ème </w:t>
      </w:r>
      <w:r w:rsidRPr="002667E7">
        <w:rPr>
          <w:sz w:val="24"/>
          <w:szCs w:val="24"/>
        </w:rPr>
        <w:t xml:space="preserve">pilier de SNE notamment  </w:t>
      </w:r>
      <w:r w:rsidRPr="00155AEB">
        <w:rPr>
          <w:sz w:val="24"/>
          <w:szCs w:val="24"/>
        </w:rPr>
        <w:t xml:space="preserve">la protection des ressources en eau et du milieu naturel et </w:t>
      </w:r>
      <w:r>
        <w:rPr>
          <w:sz w:val="24"/>
          <w:szCs w:val="24"/>
        </w:rPr>
        <w:t>l'</w:t>
      </w:r>
      <w:r w:rsidRPr="00155AEB">
        <w:rPr>
          <w:sz w:val="24"/>
          <w:szCs w:val="24"/>
        </w:rPr>
        <w:t xml:space="preserve">adaptation aux changements climatiques à travers : </w:t>
      </w:r>
    </w:p>
    <w:p w:rsidR="00AC6567" w:rsidRPr="004377FB" w:rsidRDefault="00AC6567" w:rsidP="00AC6F89">
      <w:pPr>
        <w:numPr>
          <w:ilvl w:val="0"/>
          <w:numId w:val="12"/>
        </w:numPr>
        <w:spacing w:before="120" w:after="120" w:line="240" w:lineRule="auto"/>
        <w:jc w:val="both"/>
        <w:rPr>
          <w:sz w:val="24"/>
          <w:szCs w:val="24"/>
        </w:rPr>
      </w:pPr>
      <w:r w:rsidRPr="00155AEB">
        <w:rPr>
          <w:sz w:val="24"/>
          <w:szCs w:val="24"/>
        </w:rPr>
        <w:t>la protection de la qualité des ressources en eau et la lutte contre la pollution</w:t>
      </w:r>
      <w:r>
        <w:rPr>
          <w:sz w:val="24"/>
          <w:szCs w:val="24"/>
        </w:rPr>
        <w:t> ;</w:t>
      </w:r>
    </w:p>
    <w:p w:rsidR="00AC6567" w:rsidRPr="00155AEB" w:rsidRDefault="00AC6567" w:rsidP="00AC6F89">
      <w:pPr>
        <w:numPr>
          <w:ilvl w:val="0"/>
          <w:numId w:val="12"/>
        </w:numPr>
        <w:spacing w:before="120" w:after="120" w:line="240" w:lineRule="auto"/>
        <w:jc w:val="both"/>
        <w:rPr>
          <w:sz w:val="24"/>
          <w:szCs w:val="24"/>
        </w:rPr>
      </w:pPr>
      <w:r w:rsidRPr="00155AEB">
        <w:rPr>
          <w:sz w:val="24"/>
          <w:szCs w:val="24"/>
        </w:rPr>
        <w:t>la mise en œuvre d’un système d’amélioration de la qualité des eaux d’égout, qui sont déversées par les communes et par l’industrie</w:t>
      </w:r>
      <w:r>
        <w:rPr>
          <w:sz w:val="24"/>
          <w:szCs w:val="24"/>
        </w:rPr>
        <w:t> ;</w:t>
      </w:r>
    </w:p>
    <w:p w:rsidR="00AC6567" w:rsidRPr="00155AEB" w:rsidRDefault="00AC6567" w:rsidP="00AC6F89">
      <w:pPr>
        <w:numPr>
          <w:ilvl w:val="0"/>
          <w:numId w:val="12"/>
        </w:numPr>
        <w:spacing w:before="120" w:after="120" w:line="240" w:lineRule="auto"/>
        <w:jc w:val="both"/>
        <w:rPr>
          <w:sz w:val="24"/>
          <w:szCs w:val="24"/>
        </w:rPr>
      </w:pPr>
      <w:r w:rsidRPr="00155AEB">
        <w:rPr>
          <w:sz w:val="24"/>
          <w:szCs w:val="24"/>
        </w:rPr>
        <w:t>la sauvegarde des nappes et des bassins versants, oasis, et zones humides</w:t>
      </w:r>
      <w:r>
        <w:rPr>
          <w:sz w:val="24"/>
          <w:szCs w:val="24"/>
        </w:rPr>
        <w:t> ;</w:t>
      </w:r>
    </w:p>
    <w:p w:rsidR="00AC6567" w:rsidRPr="00155AEB" w:rsidRDefault="00AC6567" w:rsidP="00AC6F89">
      <w:pPr>
        <w:numPr>
          <w:ilvl w:val="0"/>
          <w:numId w:val="12"/>
        </w:numPr>
        <w:spacing w:before="120" w:after="120" w:line="240" w:lineRule="auto"/>
        <w:jc w:val="both"/>
        <w:rPr>
          <w:sz w:val="24"/>
          <w:szCs w:val="24"/>
        </w:rPr>
      </w:pPr>
      <w:r w:rsidRPr="00155AEB">
        <w:rPr>
          <w:sz w:val="24"/>
          <w:szCs w:val="24"/>
        </w:rPr>
        <w:t>L’instauration d’un nouveau mode de gouvernance des eaux souterraines pour la sauvegarde des nappes surexploitées (approche contractuelle-contrats de nappe)</w:t>
      </w:r>
      <w:r>
        <w:rPr>
          <w:sz w:val="24"/>
          <w:szCs w:val="24"/>
        </w:rPr>
        <w:t> ;</w:t>
      </w:r>
    </w:p>
    <w:p w:rsidR="00AC6567" w:rsidRPr="00155AEB" w:rsidRDefault="00AC6567" w:rsidP="00AC6F89">
      <w:pPr>
        <w:numPr>
          <w:ilvl w:val="0"/>
          <w:numId w:val="12"/>
        </w:numPr>
        <w:spacing w:before="120" w:after="120" w:line="240" w:lineRule="auto"/>
        <w:jc w:val="both"/>
        <w:rPr>
          <w:sz w:val="24"/>
          <w:szCs w:val="24"/>
        </w:rPr>
      </w:pPr>
      <w:r w:rsidRPr="00155AEB">
        <w:rPr>
          <w:sz w:val="24"/>
          <w:szCs w:val="24"/>
        </w:rPr>
        <w:t>la mise en œuvre d’un système d'amélioration de la qualité de l'eau, y compris les eaux de baignade, en s'inspirant des principes de la législation de l'UE</w:t>
      </w:r>
      <w:r>
        <w:rPr>
          <w:sz w:val="24"/>
          <w:szCs w:val="24"/>
        </w:rPr>
        <w:t> :</w:t>
      </w:r>
    </w:p>
    <w:p w:rsidR="00AC6567" w:rsidRPr="00155AEB" w:rsidRDefault="00AC6567" w:rsidP="00AC6F89">
      <w:pPr>
        <w:numPr>
          <w:ilvl w:val="0"/>
          <w:numId w:val="12"/>
        </w:numPr>
        <w:spacing w:before="120" w:after="120" w:line="240" w:lineRule="auto"/>
        <w:jc w:val="both"/>
        <w:rPr>
          <w:sz w:val="24"/>
          <w:szCs w:val="24"/>
        </w:rPr>
      </w:pPr>
      <w:r>
        <w:rPr>
          <w:sz w:val="24"/>
          <w:szCs w:val="24"/>
        </w:rPr>
        <w:t>L’amélioration de</w:t>
      </w:r>
      <w:r w:rsidRPr="00155AEB">
        <w:rPr>
          <w:sz w:val="24"/>
          <w:szCs w:val="24"/>
        </w:rPr>
        <w:t xml:space="preserve"> la protection des personnes et des biens contre les inondations et lutter contre les effets de la sécheresse à travers des plans de gestion de sécheresse par bassin hydraulique</w:t>
      </w:r>
      <w:r>
        <w:rPr>
          <w:sz w:val="24"/>
          <w:szCs w:val="24"/>
        </w:rPr>
        <w:t> ;</w:t>
      </w:r>
    </w:p>
    <w:p w:rsidR="00AC6567" w:rsidRPr="00155AEB" w:rsidRDefault="00AC6567" w:rsidP="00AC6F89">
      <w:pPr>
        <w:numPr>
          <w:ilvl w:val="0"/>
          <w:numId w:val="12"/>
        </w:numPr>
        <w:spacing w:before="120" w:after="120" w:line="240" w:lineRule="auto"/>
        <w:jc w:val="both"/>
        <w:rPr>
          <w:sz w:val="24"/>
          <w:szCs w:val="24"/>
        </w:rPr>
      </w:pPr>
      <w:r>
        <w:rPr>
          <w:sz w:val="24"/>
          <w:szCs w:val="24"/>
        </w:rPr>
        <w:t>Le parachèvement</w:t>
      </w:r>
      <w:r w:rsidRPr="00155AEB">
        <w:rPr>
          <w:sz w:val="24"/>
          <w:szCs w:val="24"/>
        </w:rPr>
        <w:t xml:space="preserve"> </w:t>
      </w:r>
      <w:r>
        <w:rPr>
          <w:sz w:val="24"/>
          <w:szCs w:val="24"/>
        </w:rPr>
        <w:t xml:space="preserve"> des</w:t>
      </w:r>
      <w:r w:rsidRPr="00155AEB">
        <w:rPr>
          <w:sz w:val="24"/>
          <w:szCs w:val="24"/>
        </w:rPr>
        <w:t xml:space="preserve"> actions retenues dans le Plan National de protection contre les Inondations</w:t>
      </w:r>
      <w:r>
        <w:rPr>
          <w:sz w:val="24"/>
          <w:szCs w:val="24"/>
        </w:rPr>
        <w:t> ;</w:t>
      </w:r>
    </w:p>
    <w:p w:rsidR="00AC6567" w:rsidRPr="00155AEB" w:rsidRDefault="00AC6567" w:rsidP="00AC6F89">
      <w:pPr>
        <w:numPr>
          <w:ilvl w:val="0"/>
          <w:numId w:val="12"/>
        </w:numPr>
        <w:spacing w:before="120" w:after="120" w:line="240" w:lineRule="auto"/>
        <w:jc w:val="both"/>
        <w:rPr>
          <w:sz w:val="24"/>
          <w:szCs w:val="24"/>
        </w:rPr>
      </w:pPr>
      <w:r>
        <w:rPr>
          <w:sz w:val="24"/>
          <w:szCs w:val="24"/>
        </w:rPr>
        <w:t>L’amélioration de</w:t>
      </w:r>
      <w:r w:rsidRPr="00155AEB">
        <w:rPr>
          <w:sz w:val="24"/>
          <w:szCs w:val="24"/>
        </w:rPr>
        <w:t xml:space="preserve"> la prévention notamment par le développement des systèmes d’annonce de crue et des plans de secours.</w:t>
      </w:r>
    </w:p>
    <w:p w:rsidR="00AC6567" w:rsidRPr="00155AEB" w:rsidRDefault="00AC6567" w:rsidP="00155AEB">
      <w:pPr>
        <w:spacing w:before="120" w:after="120" w:line="240" w:lineRule="auto"/>
        <w:jc w:val="both"/>
        <w:rPr>
          <w:sz w:val="24"/>
          <w:szCs w:val="24"/>
        </w:rPr>
      </w:pPr>
      <w:r w:rsidRPr="00155AEB">
        <w:rPr>
          <w:sz w:val="24"/>
          <w:szCs w:val="24"/>
        </w:rPr>
        <w:t xml:space="preserve">En outre, le projet s’intègre aussi dans le cadre de la mise en œuvre de la </w:t>
      </w:r>
      <w:r>
        <w:rPr>
          <w:sz w:val="24"/>
          <w:szCs w:val="24"/>
        </w:rPr>
        <w:t>Stratégie Nationale de l’Eau (</w:t>
      </w:r>
      <w:r w:rsidRPr="00155AEB">
        <w:rPr>
          <w:sz w:val="24"/>
          <w:szCs w:val="24"/>
        </w:rPr>
        <w:t>SNE</w:t>
      </w:r>
      <w:r>
        <w:rPr>
          <w:sz w:val="24"/>
          <w:szCs w:val="24"/>
        </w:rPr>
        <w:t>)</w:t>
      </w:r>
      <w:r w:rsidRPr="00155AEB">
        <w:rPr>
          <w:sz w:val="24"/>
          <w:szCs w:val="24"/>
        </w:rPr>
        <w:t xml:space="preserve"> dans des actions d’accompagnement relatives à la poursuite des réformes juridiques, règlementaires et institutionnelles à travers :</w:t>
      </w:r>
    </w:p>
    <w:p w:rsidR="00AC6567" w:rsidRPr="00155AEB" w:rsidRDefault="00AC6567" w:rsidP="00AC6F89">
      <w:pPr>
        <w:numPr>
          <w:ilvl w:val="0"/>
          <w:numId w:val="13"/>
        </w:numPr>
        <w:spacing w:before="120" w:after="120" w:line="240" w:lineRule="auto"/>
        <w:jc w:val="both"/>
        <w:rPr>
          <w:sz w:val="24"/>
          <w:szCs w:val="24"/>
        </w:rPr>
      </w:pPr>
      <w:r w:rsidRPr="00155AEB">
        <w:rPr>
          <w:sz w:val="24"/>
          <w:szCs w:val="24"/>
        </w:rPr>
        <w:t xml:space="preserve">le parachèvement du dispositif réglementaire nécessaire à la mise en application de l’ensemble des dispositions de la </w:t>
      </w:r>
      <w:r>
        <w:rPr>
          <w:sz w:val="24"/>
          <w:szCs w:val="24"/>
        </w:rPr>
        <w:t>Loi n° 10-95</w:t>
      </w:r>
      <w:r w:rsidRPr="00155AEB">
        <w:rPr>
          <w:sz w:val="24"/>
          <w:szCs w:val="24"/>
        </w:rPr>
        <w:t xml:space="preserve"> sur l’eau il s’agit principalement des textes relatifs à la mise en œuvre du principe pollueur –payeur</w:t>
      </w:r>
      <w:r>
        <w:rPr>
          <w:sz w:val="24"/>
          <w:szCs w:val="24"/>
        </w:rPr>
        <w:t> ;</w:t>
      </w:r>
    </w:p>
    <w:p w:rsidR="00AC6567" w:rsidRPr="00155AEB" w:rsidRDefault="00AC6567" w:rsidP="00AC6F89">
      <w:pPr>
        <w:numPr>
          <w:ilvl w:val="0"/>
          <w:numId w:val="13"/>
        </w:numPr>
        <w:spacing w:before="120" w:after="120" w:line="240" w:lineRule="auto"/>
        <w:jc w:val="both"/>
        <w:rPr>
          <w:sz w:val="24"/>
          <w:szCs w:val="24"/>
        </w:rPr>
      </w:pPr>
      <w:r w:rsidRPr="00155AEB">
        <w:rPr>
          <w:sz w:val="24"/>
          <w:szCs w:val="24"/>
        </w:rPr>
        <w:t>une relecture de la loi et ses textes d’application afin d’intégrer les aspects non couverts à savoir l’économie d’eau, la réutilisation des eaux usées épurées, le dessalement des eaux de mer, la valorisation de captage des eaux pluviales, le partenariat public-privé.</w:t>
      </w:r>
    </w:p>
    <w:p w:rsidR="00AC6567" w:rsidRPr="00155AEB" w:rsidRDefault="00AC6567" w:rsidP="00555D1F">
      <w:pPr>
        <w:autoSpaceDE w:val="0"/>
        <w:autoSpaceDN w:val="0"/>
        <w:adjustRightInd w:val="0"/>
        <w:spacing w:before="120" w:after="120" w:line="240" w:lineRule="auto"/>
        <w:rPr>
          <w:sz w:val="24"/>
          <w:szCs w:val="24"/>
        </w:rPr>
      </w:pPr>
    </w:p>
    <w:p w:rsidR="00AC6567" w:rsidRPr="00155AEB" w:rsidRDefault="00AC6567" w:rsidP="00555D1F">
      <w:pPr>
        <w:autoSpaceDE w:val="0"/>
        <w:autoSpaceDN w:val="0"/>
        <w:adjustRightInd w:val="0"/>
        <w:spacing w:before="120" w:after="120" w:line="240" w:lineRule="auto"/>
        <w:rPr>
          <w:b/>
          <w:bCs/>
          <w:sz w:val="24"/>
          <w:szCs w:val="24"/>
        </w:rPr>
      </w:pPr>
      <w:r w:rsidRPr="00155AEB">
        <w:rPr>
          <w:b/>
          <w:bCs/>
          <w:sz w:val="24"/>
          <w:szCs w:val="24"/>
        </w:rPr>
        <w:t>3. Description</w:t>
      </w:r>
    </w:p>
    <w:p w:rsidR="00AC6567" w:rsidRPr="00155AEB" w:rsidRDefault="00AC6567" w:rsidP="00555D1F">
      <w:pPr>
        <w:autoSpaceDE w:val="0"/>
        <w:autoSpaceDN w:val="0"/>
        <w:adjustRightInd w:val="0"/>
        <w:spacing w:before="120" w:after="120" w:line="240" w:lineRule="auto"/>
        <w:rPr>
          <w:b/>
          <w:bCs/>
          <w:sz w:val="24"/>
          <w:szCs w:val="24"/>
        </w:rPr>
      </w:pPr>
      <w:r w:rsidRPr="00155AEB">
        <w:rPr>
          <w:b/>
          <w:bCs/>
          <w:sz w:val="24"/>
          <w:szCs w:val="24"/>
        </w:rPr>
        <w:t>3.1 Contexte et justification:</w:t>
      </w:r>
    </w:p>
    <w:p w:rsidR="00AC6567" w:rsidRPr="00155AEB" w:rsidRDefault="00AC6567" w:rsidP="00555D1F">
      <w:pPr>
        <w:autoSpaceDE w:val="0"/>
        <w:autoSpaceDN w:val="0"/>
        <w:adjustRightInd w:val="0"/>
        <w:spacing w:before="120" w:after="120" w:line="240" w:lineRule="auto"/>
        <w:jc w:val="both"/>
        <w:rPr>
          <w:sz w:val="24"/>
          <w:szCs w:val="24"/>
        </w:rPr>
      </w:pPr>
      <w:r w:rsidRPr="00155AEB">
        <w:rPr>
          <w:sz w:val="24"/>
          <w:szCs w:val="24"/>
        </w:rPr>
        <w:t xml:space="preserve">Depuis la mise en place de la </w:t>
      </w:r>
      <w:r>
        <w:rPr>
          <w:sz w:val="24"/>
          <w:szCs w:val="24"/>
        </w:rPr>
        <w:t>Loi n° 10-95</w:t>
      </w:r>
      <w:r w:rsidRPr="00155AEB">
        <w:rPr>
          <w:sz w:val="24"/>
          <w:szCs w:val="24"/>
        </w:rPr>
        <w:t xml:space="preserve"> sur l’eau, notamment le processus de décentralisation de l’Administra</w:t>
      </w:r>
      <w:r>
        <w:rPr>
          <w:sz w:val="24"/>
          <w:szCs w:val="24"/>
        </w:rPr>
        <w:t>tion de l’Eau, plusieurs études menées ont réalisé</w:t>
      </w:r>
      <w:r w:rsidRPr="00155AEB">
        <w:rPr>
          <w:sz w:val="24"/>
          <w:szCs w:val="24"/>
        </w:rPr>
        <w:t xml:space="preserve"> une anal</w:t>
      </w:r>
      <w:r>
        <w:rPr>
          <w:sz w:val="24"/>
          <w:szCs w:val="24"/>
        </w:rPr>
        <w:t>yse de la gouvernance</w:t>
      </w:r>
      <w:r w:rsidRPr="00155AEB">
        <w:rPr>
          <w:sz w:val="24"/>
          <w:szCs w:val="24"/>
        </w:rPr>
        <w:t xml:space="preserve"> du secteur de l’eau au Maroc. Elles ont permis de constater qu’en dépit des progrès importants du cadre dans lequel opère le secteur de l’eau, il existe actuellement un certain nombre de dysfonctionnements. Pour rendre ce secteur plus efficace , plusieurs chantiers</w:t>
      </w:r>
      <w:r>
        <w:rPr>
          <w:sz w:val="24"/>
          <w:szCs w:val="24"/>
        </w:rPr>
        <w:t xml:space="preserve"> en cours</w:t>
      </w:r>
      <w:r w:rsidRPr="00155AEB">
        <w:rPr>
          <w:sz w:val="24"/>
          <w:szCs w:val="24"/>
        </w:rPr>
        <w:t xml:space="preserve"> devront être achevés :</w:t>
      </w:r>
      <w:r>
        <w:rPr>
          <w:sz w:val="24"/>
          <w:szCs w:val="24"/>
        </w:rPr>
        <w:t xml:space="preserve"> le</w:t>
      </w:r>
      <w:r w:rsidRPr="00155AEB">
        <w:rPr>
          <w:sz w:val="24"/>
          <w:szCs w:val="24"/>
        </w:rPr>
        <w:t xml:space="preserve"> renforcement de la gestion décentralisée, </w:t>
      </w:r>
      <w:r>
        <w:rPr>
          <w:sz w:val="24"/>
          <w:szCs w:val="24"/>
        </w:rPr>
        <w:t xml:space="preserve">le </w:t>
      </w:r>
      <w:r w:rsidRPr="00155AEB">
        <w:rPr>
          <w:sz w:val="24"/>
          <w:szCs w:val="24"/>
        </w:rPr>
        <w:t xml:space="preserve">renforcement des moyens et compétences de l’Administration, </w:t>
      </w:r>
      <w:r>
        <w:rPr>
          <w:sz w:val="24"/>
          <w:szCs w:val="24"/>
        </w:rPr>
        <w:t xml:space="preserve">la </w:t>
      </w:r>
      <w:r w:rsidRPr="00155AEB">
        <w:rPr>
          <w:sz w:val="24"/>
          <w:szCs w:val="24"/>
        </w:rPr>
        <w:t xml:space="preserve">clarification des responsabilités des différentes parties prenantes, </w:t>
      </w:r>
      <w:r>
        <w:rPr>
          <w:sz w:val="24"/>
          <w:szCs w:val="24"/>
        </w:rPr>
        <w:t xml:space="preserve">un </w:t>
      </w:r>
      <w:r w:rsidRPr="00155AEB">
        <w:rPr>
          <w:sz w:val="24"/>
          <w:szCs w:val="24"/>
        </w:rPr>
        <w:t>meilleur recouvrement des coûts aussi bien pour l’irrigation que pour l’eau pot</w:t>
      </w:r>
      <w:r>
        <w:rPr>
          <w:sz w:val="24"/>
          <w:szCs w:val="24"/>
        </w:rPr>
        <w:t>able, amélioration et la finalisation</w:t>
      </w:r>
      <w:r w:rsidRPr="00155AEB">
        <w:rPr>
          <w:sz w:val="24"/>
          <w:szCs w:val="24"/>
        </w:rPr>
        <w:t xml:space="preserve"> du cadre juridique régissant les ressources en eau.</w:t>
      </w:r>
    </w:p>
    <w:p w:rsidR="00AC6567" w:rsidRPr="00155AEB" w:rsidRDefault="00AC6567" w:rsidP="00555D1F">
      <w:pPr>
        <w:autoSpaceDE w:val="0"/>
        <w:autoSpaceDN w:val="0"/>
        <w:adjustRightInd w:val="0"/>
        <w:spacing w:before="120" w:after="120" w:line="240" w:lineRule="auto"/>
        <w:jc w:val="both"/>
        <w:rPr>
          <w:sz w:val="24"/>
          <w:szCs w:val="24"/>
        </w:rPr>
      </w:pPr>
      <w:r w:rsidRPr="00155AEB">
        <w:rPr>
          <w:sz w:val="24"/>
          <w:szCs w:val="24"/>
        </w:rPr>
        <w:t xml:space="preserve">Le manque de compétences et de moyens financiers et humains pour </w:t>
      </w:r>
      <w:r>
        <w:rPr>
          <w:sz w:val="24"/>
          <w:szCs w:val="24"/>
        </w:rPr>
        <w:t xml:space="preserve">la mise en œuvre </w:t>
      </w:r>
      <w:r w:rsidRPr="00155AEB">
        <w:rPr>
          <w:sz w:val="24"/>
          <w:szCs w:val="24"/>
        </w:rPr>
        <w:t>de nouvelles stratégies pour le secteur de l’eau, constituent une fragilité pour ce secteur, qui s’avère critique dans la mesure où la Stratégie impose l’implication de nouvelles compétences actuellement indisponibles, en plus de celles nécessaires pour la poursuite des programmes actuels, notamment des grands projets de dessalement, de la réutilisation des eaux usées, de la rech</w:t>
      </w:r>
      <w:r>
        <w:rPr>
          <w:sz w:val="24"/>
          <w:szCs w:val="24"/>
        </w:rPr>
        <w:t>arge artificielle des nappes, du</w:t>
      </w:r>
      <w:r w:rsidRPr="00155AEB">
        <w:rPr>
          <w:sz w:val="24"/>
          <w:szCs w:val="24"/>
        </w:rPr>
        <w:t xml:space="preserve"> captage des eaux pluviales,</w:t>
      </w:r>
      <w:r>
        <w:rPr>
          <w:sz w:val="24"/>
          <w:szCs w:val="24"/>
        </w:rPr>
        <w:t xml:space="preserve"> de</w:t>
      </w:r>
      <w:r w:rsidRPr="00155AEB">
        <w:rPr>
          <w:sz w:val="24"/>
          <w:szCs w:val="24"/>
        </w:rPr>
        <w:t xml:space="preserve"> </w:t>
      </w:r>
      <w:r>
        <w:rPr>
          <w:sz w:val="24"/>
          <w:szCs w:val="24"/>
        </w:rPr>
        <w:t xml:space="preserve">la </w:t>
      </w:r>
      <w:r w:rsidRPr="00155AEB">
        <w:rPr>
          <w:sz w:val="24"/>
          <w:szCs w:val="24"/>
        </w:rPr>
        <w:t>gestion des contrat de nappe</w:t>
      </w:r>
      <w:r>
        <w:rPr>
          <w:sz w:val="24"/>
          <w:szCs w:val="24"/>
        </w:rPr>
        <w:t xml:space="preserve"> etc.</w:t>
      </w:r>
    </w:p>
    <w:p w:rsidR="00AC6567" w:rsidRDefault="00AC6567" w:rsidP="00555D1F">
      <w:pPr>
        <w:autoSpaceDE w:val="0"/>
        <w:autoSpaceDN w:val="0"/>
        <w:adjustRightInd w:val="0"/>
        <w:spacing w:before="120" w:after="120" w:line="240" w:lineRule="auto"/>
        <w:rPr>
          <w:rFonts w:eastAsia="SimSun"/>
          <w:b/>
          <w:bCs/>
          <w:sz w:val="24"/>
          <w:szCs w:val="24"/>
        </w:rPr>
      </w:pPr>
    </w:p>
    <w:p w:rsidR="00AC6567" w:rsidRPr="00155AEB" w:rsidRDefault="00AC6567" w:rsidP="00555D1F">
      <w:pPr>
        <w:autoSpaceDE w:val="0"/>
        <w:autoSpaceDN w:val="0"/>
        <w:adjustRightInd w:val="0"/>
        <w:spacing w:before="120" w:after="120" w:line="240" w:lineRule="auto"/>
        <w:rPr>
          <w:rFonts w:eastAsia="SimSun"/>
          <w:b/>
          <w:bCs/>
          <w:sz w:val="24"/>
          <w:szCs w:val="24"/>
        </w:rPr>
      </w:pPr>
      <w:r w:rsidRPr="00155AEB">
        <w:rPr>
          <w:rFonts w:eastAsia="SimSun"/>
          <w:b/>
          <w:bCs/>
          <w:sz w:val="24"/>
          <w:szCs w:val="24"/>
        </w:rPr>
        <w:t>3.1.1 Le cadre juridique</w:t>
      </w:r>
    </w:p>
    <w:p w:rsidR="00AC6567" w:rsidRPr="00155AEB" w:rsidRDefault="00AC6567" w:rsidP="00555D1F">
      <w:pPr>
        <w:autoSpaceDE w:val="0"/>
        <w:autoSpaceDN w:val="0"/>
        <w:adjustRightInd w:val="0"/>
        <w:spacing w:before="120" w:after="120" w:line="240" w:lineRule="auto"/>
        <w:jc w:val="both"/>
        <w:rPr>
          <w:sz w:val="24"/>
          <w:szCs w:val="24"/>
        </w:rPr>
      </w:pPr>
      <w:r w:rsidRPr="00155AEB">
        <w:rPr>
          <w:sz w:val="24"/>
          <w:szCs w:val="24"/>
        </w:rPr>
        <w:t xml:space="preserve">Le Maroc a engagé depuis les années 90, notamment avec la promulgation de la </w:t>
      </w:r>
      <w:r>
        <w:rPr>
          <w:sz w:val="24"/>
          <w:szCs w:val="24"/>
        </w:rPr>
        <w:t>Loi n° 10-95</w:t>
      </w:r>
      <w:r w:rsidRPr="00155AEB">
        <w:rPr>
          <w:sz w:val="24"/>
          <w:szCs w:val="24"/>
        </w:rPr>
        <w:t xml:space="preserve"> sur l’eau, une réforme du secteur de l’eau qui repose sur les principes d’une gestion intégrée concertée et décentralisée. Ces réformes sont soutenues par la nouvelle stratégie nationale de développement du secteur de l’eau adoptée en 2009, qui vise à résorber les déficits sur le long terme et à relever les multiples défis du secteur. La coopération entre le Maroc et l’UE dans le secteur de l’eau vise à accompagner le Maroc dans la mise en œuvre de cette stratégie notamment à travers l’amélioration de la gouvernance, le renforcement des insti</w:t>
      </w:r>
      <w:r>
        <w:rPr>
          <w:sz w:val="24"/>
          <w:szCs w:val="24"/>
        </w:rPr>
        <w:t>tutions et des compétences et</w:t>
      </w:r>
      <w:r w:rsidRPr="00155AEB">
        <w:rPr>
          <w:sz w:val="24"/>
          <w:szCs w:val="24"/>
        </w:rPr>
        <w:t xml:space="preserve"> la coordination des actions. Ce projet soutiendra la dynamique nationale de développement durable par une meilleure protection des r</w:t>
      </w:r>
      <w:r>
        <w:rPr>
          <w:sz w:val="24"/>
          <w:szCs w:val="24"/>
        </w:rPr>
        <w:t>essources en eau souterraines,</w:t>
      </w:r>
      <w:r w:rsidRPr="00155AEB">
        <w:rPr>
          <w:sz w:val="24"/>
          <w:szCs w:val="24"/>
        </w:rPr>
        <w:t xml:space="preserve"> une préservation de la qua</w:t>
      </w:r>
      <w:r>
        <w:rPr>
          <w:sz w:val="24"/>
          <w:szCs w:val="24"/>
        </w:rPr>
        <w:t>lité des ressources en eau et un</w:t>
      </w:r>
      <w:r w:rsidRPr="00155AEB">
        <w:rPr>
          <w:sz w:val="24"/>
          <w:szCs w:val="24"/>
        </w:rPr>
        <w:t xml:space="preserve"> développement des ressources en eau non conventionnelle.</w:t>
      </w:r>
    </w:p>
    <w:p w:rsidR="00AC6567" w:rsidRDefault="00AC6567" w:rsidP="00555D1F">
      <w:pPr>
        <w:autoSpaceDE w:val="0"/>
        <w:autoSpaceDN w:val="0"/>
        <w:adjustRightInd w:val="0"/>
        <w:spacing w:before="120" w:after="120" w:line="240" w:lineRule="auto"/>
        <w:jc w:val="both"/>
        <w:rPr>
          <w:sz w:val="24"/>
          <w:szCs w:val="24"/>
        </w:rPr>
      </w:pPr>
      <w:r w:rsidRPr="00155AEB">
        <w:rPr>
          <w:sz w:val="24"/>
          <w:szCs w:val="24"/>
        </w:rPr>
        <w:t xml:space="preserve">Pour la mise en œuvre du programme gouvernemental, un plan </w:t>
      </w:r>
      <w:r>
        <w:rPr>
          <w:sz w:val="24"/>
          <w:szCs w:val="24"/>
        </w:rPr>
        <w:t>législatif et réglementaire du secteur de l’e</w:t>
      </w:r>
      <w:r w:rsidRPr="00155AEB">
        <w:rPr>
          <w:sz w:val="24"/>
          <w:szCs w:val="24"/>
        </w:rPr>
        <w:t xml:space="preserve">au s’étale sur une période allant de 2012 à 2016 est en cours de réalisation. Ce plan comporte un projet de loi modificatif et complétant la </w:t>
      </w:r>
      <w:r>
        <w:rPr>
          <w:sz w:val="24"/>
          <w:szCs w:val="24"/>
        </w:rPr>
        <w:t>Loi n° 10-95</w:t>
      </w:r>
      <w:r w:rsidRPr="00155AEB">
        <w:rPr>
          <w:sz w:val="24"/>
          <w:szCs w:val="24"/>
        </w:rPr>
        <w:t xml:space="preserve"> sur l’eau. L’objectif de cette révision est le renforcement du cadre juridique, institutionnel et réglementaire régissant les</w:t>
      </w:r>
      <w:r>
        <w:rPr>
          <w:sz w:val="24"/>
          <w:szCs w:val="24"/>
        </w:rPr>
        <w:t xml:space="preserve"> ressources en eau au Maroc. De</w:t>
      </w:r>
      <w:r w:rsidRPr="00155AEB">
        <w:rPr>
          <w:sz w:val="24"/>
          <w:szCs w:val="24"/>
        </w:rPr>
        <w:t xml:space="preserve"> nouveaux aspects seront introduites</w:t>
      </w:r>
      <w:r>
        <w:rPr>
          <w:sz w:val="24"/>
          <w:szCs w:val="24"/>
        </w:rPr>
        <w:t xml:space="preserve"> dans ce projet de loi tel que :</w:t>
      </w:r>
      <w:r w:rsidRPr="00155AEB">
        <w:rPr>
          <w:sz w:val="24"/>
          <w:szCs w:val="24"/>
        </w:rPr>
        <w:t xml:space="preserve"> le dessalement de l’eau de mer, la réutilisation des eaux usées, la collecte des eaux pluviales, les rejets des eaux usées en mer, les contrats de nappes etc.</w:t>
      </w:r>
    </w:p>
    <w:p w:rsidR="00AC6567" w:rsidRPr="00155AEB" w:rsidRDefault="00AC6567" w:rsidP="00555D1F">
      <w:pPr>
        <w:autoSpaceDE w:val="0"/>
        <w:autoSpaceDN w:val="0"/>
        <w:adjustRightInd w:val="0"/>
        <w:spacing w:before="120" w:after="120" w:line="240" w:lineRule="auto"/>
        <w:jc w:val="both"/>
        <w:rPr>
          <w:sz w:val="24"/>
          <w:szCs w:val="24"/>
        </w:rPr>
      </w:pPr>
    </w:p>
    <w:p w:rsidR="00AC6567" w:rsidRPr="00155AEB" w:rsidRDefault="00AC6567" w:rsidP="00555D1F">
      <w:pPr>
        <w:autoSpaceDE w:val="0"/>
        <w:autoSpaceDN w:val="0"/>
        <w:adjustRightInd w:val="0"/>
        <w:spacing w:before="120" w:after="120" w:line="240" w:lineRule="auto"/>
        <w:rPr>
          <w:rFonts w:eastAsia="SimSun"/>
          <w:b/>
          <w:bCs/>
          <w:sz w:val="24"/>
          <w:szCs w:val="24"/>
        </w:rPr>
      </w:pPr>
      <w:r w:rsidRPr="00155AEB">
        <w:rPr>
          <w:rFonts w:eastAsia="SimSun"/>
          <w:b/>
          <w:bCs/>
          <w:sz w:val="24"/>
          <w:szCs w:val="24"/>
        </w:rPr>
        <w:t>3.1.2 Le cadre institutionnel, les responsabilités et la structure organisationnelle</w:t>
      </w:r>
    </w:p>
    <w:p w:rsidR="00AC6567" w:rsidRPr="00155AEB" w:rsidRDefault="00AC6567" w:rsidP="00555D1F">
      <w:pPr>
        <w:autoSpaceDE w:val="0"/>
        <w:autoSpaceDN w:val="0"/>
        <w:adjustRightInd w:val="0"/>
        <w:spacing w:before="120" w:after="120" w:line="240" w:lineRule="auto"/>
        <w:jc w:val="both"/>
        <w:rPr>
          <w:sz w:val="24"/>
          <w:szCs w:val="24"/>
        </w:rPr>
      </w:pPr>
      <w:r w:rsidRPr="00155AEB">
        <w:rPr>
          <w:sz w:val="24"/>
          <w:szCs w:val="24"/>
        </w:rPr>
        <w:t>Selon le nouveau décret n° 2.14.153 promulgué le 16 avril 2014 portant fixation des attributions et organisation du ministère chargé de l’eau, la Direction de la Recherche et de la Planification de l’Eau (DRPE) est chargée de :</w:t>
      </w:r>
    </w:p>
    <w:p w:rsidR="00AC6567" w:rsidRPr="00555D1F" w:rsidRDefault="00AC6567" w:rsidP="00AC6F89">
      <w:pPr>
        <w:pStyle w:val="ListParagraph"/>
        <w:numPr>
          <w:ilvl w:val="0"/>
          <w:numId w:val="14"/>
        </w:numPr>
        <w:autoSpaceDE w:val="0"/>
        <w:autoSpaceDN w:val="0"/>
        <w:adjustRightInd w:val="0"/>
        <w:spacing w:before="120" w:after="120" w:line="240" w:lineRule="auto"/>
        <w:jc w:val="both"/>
        <w:rPr>
          <w:sz w:val="24"/>
          <w:szCs w:val="24"/>
        </w:rPr>
      </w:pPr>
      <w:r w:rsidRPr="00555D1F">
        <w:rPr>
          <w:sz w:val="24"/>
          <w:szCs w:val="24"/>
        </w:rPr>
        <w:t>La réalisation des études et travaux nécessaires à la recherche,</w:t>
      </w:r>
      <w:r>
        <w:rPr>
          <w:sz w:val="24"/>
          <w:szCs w:val="24"/>
        </w:rPr>
        <w:t xml:space="preserve"> à</w:t>
      </w:r>
      <w:r w:rsidRPr="00555D1F">
        <w:rPr>
          <w:sz w:val="24"/>
          <w:szCs w:val="24"/>
        </w:rPr>
        <w:t xml:space="preserve"> l’amélioration de la</w:t>
      </w:r>
      <w:r w:rsidRPr="00155AEB">
        <w:t xml:space="preserve"> </w:t>
      </w:r>
      <w:r>
        <w:rPr>
          <w:sz w:val="24"/>
          <w:szCs w:val="24"/>
        </w:rPr>
        <w:t>connaissance et à</w:t>
      </w:r>
      <w:r w:rsidRPr="00555D1F">
        <w:rPr>
          <w:sz w:val="24"/>
          <w:szCs w:val="24"/>
        </w:rPr>
        <w:t xml:space="preserve"> la gestion des ressources en eau,</w:t>
      </w:r>
    </w:p>
    <w:p w:rsidR="00AC6567" w:rsidRPr="00555D1F" w:rsidRDefault="00AC6567" w:rsidP="00AC6F89">
      <w:pPr>
        <w:pStyle w:val="ListParagraph"/>
        <w:numPr>
          <w:ilvl w:val="0"/>
          <w:numId w:val="14"/>
        </w:numPr>
        <w:autoSpaceDE w:val="0"/>
        <w:autoSpaceDN w:val="0"/>
        <w:adjustRightInd w:val="0"/>
        <w:spacing w:before="120" w:after="120" w:line="240" w:lineRule="auto"/>
        <w:jc w:val="both"/>
        <w:rPr>
          <w:sz w:val="24"/>
          <w:szCs w:val="24"/>
        </w:rPr>
      </w:pPr>
      <w:r w:rsidRPr="00555D1F">
        <w:rPr>
          <w:sz w:val="24"/>
          <w:szCs w:val="24"/>
        </w:rPr>
        <w:t>L’inventaire des ressources en eau superficielles et souterraines ainsi que le suivi et le contrôle de son évolution</w:t>
      </w:r>
      <w:r>
        <w:rPr>
          <w:sz w:val="24"/>
          <w:szCs w:val="24"/>
        </w:rPr>
        <w:t>,</w:t>
      </w:r>
      <w:r w:rsidRPr="00555D1F">
        <w:rPr>
          <w:sz w:val="24"/>
          <w:szCs w:val="24"/>
        </w:rPr>
        <w:t xml:space="preserve"> de  sa qualité conformément au</w:t>
      </w:r>
      <w:r>
        <w:rPr>
          <w:sz w:val="24"/>
          <w:szCs w:val="24"/>
        </w:rPr>
        <w:t>x textes législatifs en vigueur ;</w:t>
      </w:r>
    </w:p>
    <w:p w:rsidR="00AC6567" w:rsidRPr="00555D1F" w:rsidRDefault="00AC6567" w:rsidP="00AC6F89">
      <w:pPr>
        <w:pStyle w:val="ListParagraph"/>
        <w:numPr>
          <w:ilvl w:val="0"/>
          <w:numId w:val="14"/>
        </w:numPr>
        <w:autoSpaceDE w:val="0"/>
        <w:autoSpaceDN w:val="0"/>
        <w:adjustRightInd w:val="0"/>
        <w:spacing w:before="120" w:after="120" w:line="240" w:lineRule="auto"/>
        <w:jc w:val="both"/>
        <w:rPr>
          <w:sz w:val="24"/>
          <w:szCs w:val="24"/>
        </w:rPr>
      </w:pPr>
      <w:r w:rsidRPr="00555D1F">
        <w:rPr>
          <w:sz w:val="24"/>
          <w:szCs w:val="24"/>
        </w:rPr>
        <w:t xml:space="preserve">La coordination du processus de l’élaboration du  plan national de l'eau, </w:t>
      </w:r>
    </w:p>
    <w:p w:rsidR="00AC6567" w:rsidRPr="00555D1F" w:rsidRDefault="00AC6567" w:rsidP="00AC6F89">
      <w:pPr>
        <w:pStyle w:val="ListParagraph"/>
        <w:numPr>
          <w:ilvl w:val="0"/>
          <w:numId w:val="14"/>
        </w:numPr>
        <w:autoSpaceDE w:val="0"/>
        <w:autoSpaceDN w:val="0"/>
        <w:adjustRightInd w:val="0"/>
        <w:spacing w:before="120" w:after="120" w:line="240" w:lineRule="auto"/>
        <w:jc w:val="both"/>
        <w:rPr>
          <w:sz w:val="24"/>
          <w:szCs w:val="24"/>
        </w:rPr>
      </w:pPr>
      <w:r w:rsidRPr="00555D1F">
        <w:rPr>
          <w:sz w:val="24"/>
          <w:szCs w:val="24"/>
        </w:rPr>
        <w:t>La coordination avec les agences des</w:t>
      </w:r>
      <w:r>
        <w:rPr>
          <w:sz w:val="24"/>
          <w:szCs w:val="24"/>
        </w:rPr>
        <w:t xml:space="preserve"> bassins hydrauliques pour</w:t>
      </w:r>
      <w:r w:rsidRPr="00555D1F">
        <w:rPr>
          <w:sz w:val="24"/>
          <w:szCs w:val="24"/>
        </w:rPr>
        <w:t xml:space="preserve"> l’élaboration et l’actualisation des plans directeurs d’aménagement intégré des ressources en eau,</w:t>
      </w:r>
    </w:p>
    <w:p w:rsidR="00AC6567" w:rsidRPr="00555D1F" w:rsidRDefault="00AC6567" w:rsidP="00AC6F89">
      <w:pPr>
        <w:pStyle w:val="ListParagraph"/>
        <w:numPr>
          <w:ilvl w:val="0"/>
          <w:numId w:val="14"/>
        </w:numPr>
        <w:autoSpaceDE w:val="0"/>
        <w:autoSpaceDN w:val="0"/>
        <w:adjustRightInd w:val="0"/>
        <w:spacing w:before="120" w:after="120" w:line="240" w:lineRule="auto"/>
        <w:jc w:val="both"/>
        <w:rPr>
          <w:sz w:val="24"/>
          <w:szCs w:val="24"/>
        </w:rPr>
      </w:pPr>
      <w:r w:rsidRPr="00555D1F">
        <w:rPr>
          <w:sz w:val="24"/>
          <w:szCs w:val="24"/>
        </w:rPr>
        <w:t>La gestion et protection du domaine public hydraulique en coordination avec les agences des bassins hydrauliques</w:t>
      </w:r>
      <w:r>
        <w:rPr>
          <w:sz w:val="24"/>
          <w:szCs w:val="24"/>
        </w:rPr>
        <w:t>.</w:t>
      </w:r>
    </w:p>
    <w:p w:rsidR="00AC6567" w:rsidRDefault="00AC6567" w:rsidP="00555D1F">
      <w:pPr>
        <w:autoSpaceDE w:val="0"/>
        <w:autoSpaceDN w:val="0"/>
        <w:adjustRightInd w:val="0"/>
        <w:spacing w:before="120" w:after="120" w:line="240" w:lineRule="auto"/>
        <w:jc w:val="both"/>
        <w:rPr>
          <w:sz w:val="24"/>
          <w:szCs w:val="24"/>
        </w:rPr>
      </w:pPr>
      <w:r w:rsidRPr="00155AEB">
        <w:rPr>
          <w:sz w:val="24"/>
          <w:szCs w:val="24"/>
        </w:rPr>
        <w:t>Un projet d’arrêté ministériel qui précisera l’organigramme et les attributions de la DRPE est en cours de préparation.</w:t>
      </w:r>
    </w:p>
    <w:p w:rsidR="00AC6567" w:rsidRDefault="00AC6567" w:rsidP="00555D1F">
      <w:pPr>
        <w:autoSpaceDE w:val="0"/>
        <w:autoSpaceDN w:val="0"/>
        <w:adjustRightInd w:val="0"/>
        <w:spacing w:before="120" w:after="120" w:line="240" w:lineRule="auto"/>
        <w:jc w:val="both"/>
        <w:rPr>
          <w:sz w:val="24"/>
          <w:szCs w:val="24"/>
        </w:rPr>
      </w:pPr>
    </w:p>
    <w:p w:rsidR="00AC6567" w:rsidRDefault="00AC6567" w:rsidP="00555D1F">
      <w:pPr>
        <w:autoSpaceDE w:val="0"/>
        <w:autoSpaceDN w:val="0"/>
        <w:adjustRightInd w:val="0"/>
        <w:spacing w:before="120" w:after="120" w:line="240" w:lineRule="auto"/>
        <w:jc w:val="both"/>
        <w:rPr>
          <w:sz w:val="24"/>
          <w:szCs w:val="24"/>
        </w:rPr>
      </w:pPr>
    </w:p>
    <w:p w:rsidR="00AC6567" w:rsidRDefault="00AC6567" w:rsidP="00555D1F">
      <w:pPr>
        <w:autoSpaceDE w:val="0"/>
        <w:autoSpaceDN w:val="0"/>
        <w:adjustRightInd w:val="0"/>
        <w:spacing w:before="120" w:after="120" w:line="240" w:lineRule="auto"/>
        <w:jc w:val="both"/>
        <w:rPr>
          <w:sz w:val="24"/>
          <w:szCs w:val="24"/>
        </w:rPr>
      </w:pPr>
    </w:p>
    <w:p w:rsidR="00AC6567" w:rsidRPr="00155AEB" w:rsidRDefault="00AC6567" w:rsidP="00555D1F">
      <w:pPr>
        <w:autoSpaceDE w:val="0"/>
        <w:autoSpaceDN w:val="0"/>
        <w:adjustRightInd w:val="0"/>
        <w:spacing w:before="120" w:after="120" w:line="240" w:lineRule="auto"/>
        <w:jc w:val="both"/>
        <w:rPr>
          <w:sz w:val="24"/>
          <w:szCs w:val="24"/>
        </w:rPr>
      </w:pPr>
    </w:p>
    <w:p w:rsidR="00AC6567" w:rsidRPr="00155AEB" w:rsidRDefault="00AC6567" w:rsidP="00AC6F89">
      <w:pPr>
        <w:pStyle w:val="ListParagraph"/>
        <w:numPr>
          <w:ilvl w:val="1"/>
          <w:numId w:val="7"/>
        </w:numPr>
        <w:autoSpaceDE w:val="0"/>
        <w:autoSpaceDN w:val="0"/>
        <w:adjustRightInd w:val="0"/>
        <w:spacing w:before="120" w:after="120" w:line="240" w:lineRule="auto"/>
        <w:rPr>
          <w:b/>
          <w:bCs/>
          <w:sz w:val="24"/>
          <w:szCs w:val="24"/>
        </w:rPr>
      </w:pPr>
      <w:r w:rsidRPr="00155AEB">
        <w:rPr>
          <w:b/>
          <w:bCs/>
          <w:sz w:val="24"/>
          <w:szCs w:val="24"/>
        </w:rPr>
        <w:t>Activités connexes (autres initiatives nationales et internationales):</w:t>
      </w:r>
    </w:p>
    <w:tbl>
      <w:tblPr>
        <w:tblW w:w="28722" w:type="dxa"/>
        <w:tblInd w:w="2" w:type="dxa"/>
        <w:tblLayout w:type="fixed"/>
        <w:tblLook w:val="0000"/>
      </w:tblPr>
      <w:tblGrid>
        <w:gridCol w:w="9322"/>
        <w:gridCol w:w="9700"/>
        <w:gridCol w:w="9700"/>
      </w:tblGrid>
      <w:tr w:rsidR="00AC6567" w:rsidRPr="00AF0FFA">
        <w:trPr>
          <w:trHeight w:val="933"/>
        </w:trPr>
        <w:tc>
          <w:tcPr>
            <w:tcW w:w="9322" w:type="dxa"/>
          </w:tcPr>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 xml:space="preserve">Certaines Agences des Bassins Hydrauliques ont déjà bénéficié de certaines actions en partenariat avec certains pays de l’Union Européenne (Espagne, France) : </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AC6F89">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color w:val="000000"/>
                <w:sz w:val="24"/>
                <w:szCs w:val="24"/>
              </w:rPr>
              <w:t xml:space="preserve">ABH du Loukkos a déjà bénéficié du programme INTERREG II mené dans le cadre de la Coopération espagnole ; </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AC6F89">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color w:val="000000"/>
                <w:sz w:val="24"/>
                <w:szCs w:val="24"/>
              </w:rPr>
              <w:t>Un Programme d’Appui à la Gestion Intégrée des Ressources en Eau est mené par la DRPE en collaboration avec la GIZ (coopération technique allemande). Dans sa première phase, ce programme a pour objectif d'améliorer le cadre institutionnel, réglementaire et organisationnel du secteur de l'eau, de renforcer les capacités techniques des ABH du Tensift du Souss-Massa et de l'Oum Er-Rbia ainsi que, d'améliorer la communication et la concertation entre les acteurs dans le domaine de l'eau par leur participation au dialogue, à la planification et au suivi de la gestion intégrée de cette ressource ;</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AC6F89">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color w:val="000000"/>
                <w:sz w:val="24"/>
                <w:szCs w:val="24"/>
              </w:rPr>
              <w:t xml:space="preserve">Jumelage entre le bassin de Sebou et le bassin de Seine-Normandie (France) ; </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B510C2">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color w:val="000000"/>
                <w:sz w:val="24"/>
                <w:szCs w:val="24"/>
              </w:rPr>
              <w:t xml:space="preserve">Il y a lieu d’ajouter également qu’en mai 2014, dans le cadre du programme RSA, une étude portant sur l’évaluation de l’écart sera finalisée pour la fin d’août et pourrait alimenter, notamment, la mise en œuvre du présent jumelage. Cette étude devrait identifier l’écart existant entre le cadre juridique et institutionnel marocain et la Directive cadre de l’Eau, ciblant notamment le projet modificatif de la </w:t>
            </w:r>
            <w:r w:rsidRPr="00AF0FFA">
              <w:rPr>
                <w:sz w:val="24"/>
                <w:szCs w:val="24"/>
              </w:rPr>
              <w:t>Loi n° 10-95.</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B510C2">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b/>
                <w:bCs/>
                <w:sz w:val="24"/>
                <w:szCs w:val="24"/>
              </w:rPr>
              <w:t>L'eau</w:t>
            </w:r>
            <w:r w:rsidRPr="00AF0FFA">
              <w:rPr>
                <w:sz w:val="24"/>
                <w:szCs w:val="24"/>
              </w:rPr>
              <w:t xml:space="preserve">  est l'un des premiers  secteurs au Maroc à avoir bénéficié d'un </w:t>
            </w:r>
            <w:r w:rsidRPr="00AF0FFA">
              <w:rPr>
                <w:b/>
                <w:bCs/>
                <w:sz w:val="24"/>
                <w:szCs w:val="24"/>
              </w:rPr>
              <w:t>appui budgétaire de l'Union européenne</w:t>
            </w:r>
            <w:r w:rsidRPr="00AF0FFA">
              <w:rPr>
                <w:sz w:val="24"/>
                <w:szCs w:val="24"/>
              </w:rPr>
              <w:t xml:space="preserve">. En effet le Programme d'ajustement structurel du secteur de l'eau,  dit la FAS Eau, d'un montant de </w:t>
            </w:r>
            <w:r w:rsidRPr="00AF0FFA">
              <w:rPr>
                <w:b/>
                <w:bCs/>
                <w:sz w:val="24"/>
                <w:szCs w:val="24"/>
              </w:rPr>
              <w:t xml:space="preserve">120 millions d'Euro (2002-2006) </w:t>
            </w:r>
            <w:r w:rsidRPr="00AF0FFA">
              <w:rPr>
                <w:sz w:val="24"/>
                <w:szCs w:val="24"/>
              </w:rPr>
              <w:t xml:space="preserve">a appuyé la réforme du secteur de l'eau initiée par la loi sur l'eau (n° 10/95) et  qui a été suivi par des appuis de la BAfD et la BAD. L'appui de l'UE visait entre autre l'amélioration de la </w:t>
            </w:r>
            <w:r w:rsidRPr="00AF0FFA">
              <w:rPr>
                <w:b/>
                <w:bCs/>
                <w:sz w:val="24"/>
                <w:szCs w:val="24"/>
              </w:rPr>
              <w:t>gouvernance du secteur</w:t>
            </w:r>
            <w:r w:rsidRPr="00AF0FFA">
              <w:rPr>
                <w:sz w:val="24"/>
                <w:szCs w:val="24"/>
              </w:rPr>
              <w:t xml:space="preserve"> et s'articulait autour de 6 axes dont il convient  de citer 2 axes: a) la mise en œuvre de la gestion intégré des ressources en eau (GIRE</w:t>
            </w:r>
            <w:r w:rsidRPr="00AF0FFA">
              <w:rPr>
                <w:rStyle w:val="FootnoteReference"/>
                <w:sz w:val="20"/>
                <w:szCs w:val="20"/>
              </w:rPr>
              <w:footnoteReference w:id="1"/>
            </w:r>
            <w:r w:rsidRPr="00AF0FFA">
              <w:rPr>
                <w:sz w:val="24"/>
                <w:szCs w:val="24"/>
              </w:rPr>
              <w:t xml:space="preserve">) et b) la maîtrise des impacts de rejets liquides sur l'environnement, la préservation de la qualité de l'eau et la politique d'assainissement. Le </w:t>
            </w:r>
            <w:r w:rsidRPr="00AF0FFA">
              <w:rPr>
                <w:b/>
                <w:bCs/>
                <w:sz w:val="24"/>
                <w:szCs w:val="24"/>
              </w:rPr>
              <w:t>Programme National d'Assainissement</w:t>
            </w:r>
            <w:r w:rsidRPr="00AF0FFA">
              <w:rPr>
                <w:sz w:val="24"/>
                <w:szCs w:val="24"/>
              </w:rPr>
              <w:t xml:space="preserve"> </w:t>
            </w:r>
            <w:r w:rsidRPr="00AF0FFA">
              <w:rPr>
                <w:b/>
                <w:bCs/>
                <w:sz w:val="24"/>
                <w:szCs w:val="24"/>
              </w:rPr>
              <w:t>(PNA) peut être considéré comme une émanation de ce premier appui budgétaire</w:t>
            </w:r>
            <w:r w:rsidRPr="00AF0FFA">
              <w:rPr>
                <w:sz w:val="24"/>
                <w:szCs w:val="24"/>
              </w:rPr>
              <w:t xml:space="preserve">. </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B510C2">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sz w:val="24"/>
                <w:szCs w:val="24"/>
              </w:rPr>
              <w:t xml:space="preserve">En vue de consolider ce résultat et dans le cadre du programme "Assainissement et Appui Institutionnel" (2008-2012), un don (Approche projet)  de </w:t>
            </w:r>
            <w:r w:rsidRPr="00AF0FFA">
              <w:rPr>
                <w:b/>
                <w:bCs/>
                <w:sz w:val="24"/>
                <w:szCs w:val="24"/>
              </w:rPr>
              <w:t>30 millions d'Euro</w:t>
            </w:r>
            <w:r w:rsidRPr="00AF0FFA">
              <w:rPr>
                <w:sz w:val="24"/>
                <w:szCs w:val="24"/>
              </w:rPr>
              <w:t xml:space="preserve"> a été octroyé au Maroc pour accompagner le PNA.  Avec la signature de la convention de financement "Appui au PNA" </w:t>
            </w:r>
            <w:r w:rsidRPr="00AF0FFA">
              <w:rPr>
                <w:b/>
                <w:bCs/>
                <w:sz w:val="24"/>
                <w:szCs w:val="24"/>
              </w:rPr>
              <w:t xml:space="preserve">50 millions d'Euro </w:t>
            </w:r>
            <w:r w:rsidRPr="00AF0FFA">
              <w:rPr>
                <w:sz w:val="24"/>
                <w:szCs w:val="24"/>
              </w:rPr>
              <w:t xml:space="preserve">(Appui budgétaire) en novembre 2010 et le soutien de la FIV de </w:t>
            </w:r>
            <w:r w:rsidRPr="00AF0FFA">
              <w:rPr>
                <w:b/>
                <w:bCs/>
                <w:sz w:val="24"/>
                <w:szCs w:val="24"/>
              </w:rPr>
              <w:t xml:space="preserve">10 millions d'Euro </w:t>
            </w:r>
            <w:r w:rsidRPr="00AF0FFA">
              <w:rPr>
                <w:sz w:val="24"/>
                <w:szCs w:val="24"/>
              </w:rPr>
              <w:t>en décembre 2010</w:t>
            </w:r>
            <w:r w:rsidRPr="00AF0FFA">
              <w:rPr>
                <w:b/>
                <w:bCs/>
                <w:sz w:val="24"/>
                <w:szCs w:val="24"/>
              </w:rPr>
              <w:t xml:space="preserve">, </w:t>
            </w:r>
            <w:r w:rsidRPr="00AF0FFA">
              <w:rPr>
                <w:sz w:val="24"/>
                <w:szCs w:val="24"/>
              </w:rPr>
              <w:t>l'appui de</w:t>
            </w:r>
            <w:r w:rsidRPr="00AF0FFA">
              <w:rPr>
                <w:b/>
                <w:bCs/>
                <w:sz w:val="24"/>
                <w:szCs w:val="24"/>
              </w:rPr>
              <w:t xml:space="preserve"> </w:t>
            </w:r>
            <w:r w:rsidRPr="00AF0FFA">
              <w:rPr>
                <w:sz w:val="24"/>
                <w:szCs w:val="24"/>
              </w:rPr>
              <w:t xml:space="preserve">l'UE au secteur de l'assainissement s'élève à </w:t>
            </w:r>
            <w:r w:rsidRPr="00AF0FFA">
              <w:rPr>
                <w:b/>
                <w:bCs/>
                <w:sz w:val="24"/>
                <w:szCs w:val="24"/>
              </w:rPr>
              <w:t>90 millions d'Euro</w:t>
            </w:r>
            <w:r w:rsidRPr="00AF0FFA">
              <w:rPr>
                <w:sz w:val="24"/>
                <w:szCs w:val="24"/>
              </w:rPr>
              <w:t>. Le Programme National d'Assainissement bénéficie ainsi de la palette complète des instruments d'aide de l'UE (FIV, appui budgétaire, projets classiques et bonifications, ainsi que les prêts à travers la BEI) et connait l'intervention d'uen multitude de bailleurs dont la BEI, AFD, KFW, Coopération Belge, BERD, Banque mondiale, JICA et la Banque islamique de Développement .</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B510C2">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sz w:val="24"/>
                <w:szCs w:val="24"/>
              </w:rPr>
              <w:t>L'UE appuie "</w:t>
            </w:r>
            <w:r w:rsidRPr="00AF0FFA">
              <w:rPr>
                <w:b/>
                <w:bCs/>
                <w:sz w:val="24"/>
                <w:szCs w:val="24"/>
              </w:rPr>
              <w:t>le Programme d'Amélioration des Performances dans l'alimentation en eau potab</w:t>
            </w:r>
            <w:r w:rsidRPr="00AF0FFA">
              <w:rPr>
                <w:sz w:val="24"/>
                <w:szCs w:val="24"/>
              </w:rPr>
              <w:t xml:space="preserve">le" à travers un cofinancement avec 2 autres bailleurs de fonds européens (KFW et AFD). Programme d'un montant de </w:t>
            </w:r>
            <w:r w:rsidRPr="00AF0FFA">
              <w:rPr>
                <w:b/>
                <w:bCs/>
                <w:sz w:val="24"/>
                <w:szCs w:val="24"/>
              </w:rPr>
              <w:t>101 millions d'euros</w:t>
            </w:r>
            <w:r w:rsidRPr="00AF0FFA">
              <w:rPr>
                <w:sz w:val="24"/>
                <w:szCs w:val="24"/>
              </w:rPr>
              <w:t>, (UE FIV: 7M€, AFD: 30 M€, et KfW 40 M€, ONEP 24 M€). Le chef de fil est la KFW et l'agence d'exécution est l'ONEP (actuellement ONEE branche Eau).</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B510C2">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sz w:val="24"/>
                <w:szCs w:val="24"/>
              </w:rPr>
              <w:t xml:space="preserve">En 2000, l'UE a initié un important projet de </w:t>
            </w:r>
            <w:r w:rsidRPr="00AF0FFA">
              <w:rPr>
                <w:b/>
                <w:bCs/>
                <w:sz w:val="24"/>
                <w:szCs w:val="24"/>
              </w:rPr>
              <w:t>développement rural et agricole</w:t>
            </w:r>
            <w:r w:rsidRPr="00AF0FFA">
              <w:rPr>
                <w:sz w:val="24"/>
                <w:szCs w:val="24"/>
              </w:rPr>
              <w:t xml:space="preserve"> à travers le financement de l'aménagement hydro-agricole du périmètre Sahla  avec un don de 28.6 M€ (200-2009) et qui vise la valorisation  d'une superficie agricole d'environ 3000 Ha.</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B510C2">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sz w:val="24"/>
                <w:szCs w:val="24"/>
              </w:rPr>
              <w:t xml:space="preserve">En 1998, l'UE a accompagné l'effort de </w:t>
            </w:r>
            <w:r w:rsidRPr="00AF0FFA">
              <w:rPr>
                <w:b/>
                <w:bCs/>
                <w:sz w:val="24"/>
                <w:szCs w:val="24"/>
              </w:rPr>
              <w:t>généralisation de l'eau potable au milieu rural</w:t>
            </w:r>
            <w:r w:rsidRPr="00AF0FFA">
              <w:rPr>
                <w:sz w:val="24"/>
                <w:szCs w:val="24"/>
              </w:rPr>
              <w:t>, en appuyant le Programme d'Approvisionnement Groupé en Eau du milieu Rural  (PAGER) et ce en octroyant un don d'environ 40 M€.</w:t>
            </w:r>
          </w:p>
          <w:p w:rsidR="00AC6567" w:rsidRPr="00AF0FFA" w:rsidRDefault="00AC6567" w:rsidP="00B510C2">
            <w:pPr>
              <w:pStyle w:val="ListParagraph"/>
              <w:autoSpaceDE w:val="0"/>
              <w:autoSpaceDN w:val="0"/>
              <w:adjustRightInd w:val="0"/>
              <w:spacing w:before="120" w:after="120" w:line="240" w:lineRule="auto"/>
              <w:ind w:left="360"/>
              <w:jc w:val="both"/>
              <w:rPr>
                <w:color w:val="000000"/>
                <w:sz w:val="24"/>
                <w:szCs w:val="24"/>
              </w:rPr>
            </w:pPr>
          </w:p>
          <w:p w:rsidR="00AC6567" w:rsidRPr="00AF0FFA" w:rsidRDefault="00AC6567" w:rsidP="00B510C2">
            <w:pPr>
              <w:pStyle w:val="ListParagraph"/>
              <w:numPr>
                <w:ilvl w:val="0"/>
                <w:numId w:val="15"/>
              </w:numPr>
              <w:autoSpaceDE w:val="0"/>
              <w:autoSpaceDN w:val="0"/>
              <w:adjustRightInd w:val="0"/>
              <w:spacing w:before="120" w:after="120" w:line="240" w:lineRule="auto"/>
              <w:jc w:val="both"/>
              <w:rPr>
                <w:color w:val="000000"/>
                <w:sz w:val="24"/>
                <w:szCs w:val="24"/>
              </w:rPr>
            </w:pPr>
            <w:r w:rsidRPr="00AF0FFA">
              <w:rPr>
                <w:sz w:val="24"/>
                <w:szCs w:val="24"/>
              </w:rPr>
              <w:t>Sur le plan régional, il y a lieu de mentionner d'une part l'initiative Horizon 2020 qui vise à réduire la pollution en Méditerranée à l'horizon 2020, en luttant contre les sources de pollution qui sont à l'origine de 80% de la population générale de la Mer méditerranéenne : déchets municipaux, eaux usées urbaines et pollution industrielle.</w:t>
            </w:r>
            <w:r w:rsidRPr="00AF0FFA" w:rsidDel="002702E4">
              <w:rPr>
                <w:sz w:val="24"/>
                <w:szCs w:val="24"/>
              </w:rPr>
              <w:t xml:space="preserve"> </w:t>
            </w:r>
            <w:r w:rsidRPr="00AF0FFA">
              <w:rPr>
                <w:sz w:val="24"/>
                <w:szCs w:val="24"/>
              </w:rPr>
              <w:t>Cette initiative est gérée par l'UE et en partenariat avec l'UPM et la Banque européenne d'investissement. Et d'autre part le programme régional SWIM financé par l'UE en faveur des voisins du Sud qui vise à renforcer la gestion intégrée des ressources en eau.</w:t>
            </w:r>
          </w:p>
          <w:p w:rsidR="00AC6567" w:rsidRPr="00AF0FFA" w:rsidRDefault="00AC6567" w:rsidP="00555D1F">
            <w:pPr>
              <w:autoSpaceDE w:val="0"/>
              <w:autoSpaceDN w:val="0"/>
              <w:adjustRightInd w:val="0"/>
              <w:spacing w:before="120" w:after="120" w:line="240" w:lineRule="auto"/>
              <w:jc w:val="both"/>
              <w:rPr>
                <w:b/>
                <w:bCs/>
                <w:color w:val="000000"/>
                <w:sz w:val="24"/>
                <w:szCs w:val="24"/>
              </w:rPr>
            </w:pPr>
          </w:p>
          <w:p w:rsidR="00AC6567" w:rsidRPr="00AF0FFA" w:rsidRDefault="00AC6567" w:rsidP="00555D1F">
            <w:pPr>
              <w:autoSpaceDE w:val="0"/>
              <w:autoSpaceDN w:val="0"/>
              <w:adjustRightInd w:val="0"/>
              <w:spacing w:before="120" w:after="120" w:line="240" w:lineRule="auto"/>
              <w:jc w:val="both"/>
              <w:rPr>
                <w:b/>
                <w:bCs/>
                <w:color w:val="000000"/>
                <w:sz w:val="24"/>
                <w:szCs w:val="24"/>
              </w:rPr>
            </w:pPr>
            <w:r w:rsidRPr="00AF0FFA">
              <w:rPr>
                <w:b/>
                <w:bCs/>
                <w:color w:val="000000"/>
                <w:sz w:val="24"/>
                <w:szCs w:val="24"/>
              </w:rPr>
              <w:t>3.3. Résultats</w:t>
            </w:r>
          </w:p>
          <w:p w:rsidR="00AC6567" w:rsidRPr="00AF0FFA" w:rsidRDefault="00AC6567" w:rsidP="00555D1F">
            <w:pPr>
              <w:autoSpaceDE w:val="0"/>
              <w:autoSpaceDN w:val="0"/>
              <w:adjustRightInd w:val="0"/>
              <w:spacing w:before="120" w:after="120" w:line="240" w:lineRule="auto"/>
              <w:jc w:val="both"/>
              <w:rPr>
                <w:b/>
                <w:bCs/>
                <w:color w:val="000000"/>
                <w:sz w:val="24"/>
                <w:szCs w:val="24"/>
              </w:rPr>
            </w:pP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 xml:space="preserve">Pour ce projet, il y a trois résultats obligatoires : </w:t>
            </w:r>
          </w:p>
          <w:p w:rsidR="00AC6567" w:rsidRPr="00AF0FFA" w:rsidRDefault="00AC6567" w:rsidP="00555D1F">
            <w:pPr>
              <w:autoSpaceDE w:val="0"/>
              <w:autoSpaceDN w:val="0"/>
              <w:adjustRightInd w:val="0"/>
              <w:spacing w:before="120" w:after="120" w:line="240" w:lineRule="auto"/>
              <w:jc w:val="both"/>
              <w:rPr>
                <w:b/>
                <w:bCs/>
                <w:color w:val="000000"/>
                <w:sz w:val="24"/>
                <w:szCs w:val="24"/>
              </w:rPr>
            </w:pPr>
            <w:r w:rsidRPr="00AF0FFA">
              <w:rPr>
                <w:b/>
                <w:bCs/>
                <w:color w:val="000000"/>
                <w:sz w:val="24"/>
                <w:szCs w:val="24"/>
              </w:rPr>
              <w:t>1. Le département de l’Eau du MEMEE dispose d’une analyse complète de l’écart juridique et institutionnel entre le Maroc et l’UE dans le domaine de la gestion des ressources en eau (basée donc sur les éléments de l'acquis complémentaire par rapport à la Directive cadre de l’Eau);</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Indicateurs objectivement vérifiables :</w:t>
            </w:r>
          </w:p>
          <w:p w:rsidR="00AC6567" w:rsidRPr="00AF0FFA" w:rsidRDefault="00AC6567" w:rsidP="00AC6F89">
            <w:pPr>
              <w:pStyle w:val="ListParagraph"/>
              <w:numPr>
                <w:ilvl w:val="0"/>
                <w:numId w:val="16"/>
              </w:numPr>
              <w:autoSpaceDE w:val="0"/>
              <w:autoSpaceDN w:val="0"/>
              <w:adjustRightInd w:val="0"/>
              <w:spacing w:before="120" w:after="120" w:line="240" w:lineRule="auto"/>
              <w:jc w:val="both"/>
              <w:rPr>
                <w:color w:val="000000"/>
                <w:sz w:val="24"/>
                <w:szCs w:val="24"/>
              </w:rPr>
            </w:pPr>
            <w:r w:rsidRPr="00AF0FFA">
              <w:rPr>
                <w:color w:val="000000"/>
                <w:sz w:val="24"/>
                <w:szCs w:val="24"/>
              </w:rPr>
              <w:t xml:space="preserve">Tableau de concordance </w:t>
            </w:r>
          </w:p>
          <w:p w:rsidR="00AC6567" w:rsidRPr="00AF0FFA" w:rsidRDefault="00AC6567" w:rsidP="00AC6F89">
            <w:pPr>
              <w:pStyle w:val="ListParagraph"/>
              <w:numPr>
                <w:ilvl w:val="0"/>
                <w:numId w:val="16"/>
              </w:numPr>
              <w:autoSpaceDE w:val="0"/>
              <w:autoSpaceDN w:val="0"/>
              <w:adjustRightInd w:val="0"/>
              <w:spacing w:before="120" w:after="120" w:line="240" w:lineRule="auto"/>
              <w:jc w:val="both"/>
              <w:rPr>
                <w:color w:val="000000"/>
                <w:sz w:val="24"/>
                <w:szCs w:val="24"/>
              </w:rPr>
            </w:pPr>
            <w:r w:rsidRPr="00AF0FFA">
              <w:rPr>
                <w:color w:val="000000"/>
                <w:sz w:val="24"/>
                <w:szCs w:val="24"/>
              </w:rPr>
              <w:t>Analyse institutionnelle</w:t>
            </w:r>
          </w:p>
          <w:p w:rsidR="00AC6567" w:rsidRPr="00AF0FFA" w:rsidRDefault="00AC6567" w:rsidP="00AC6F89">
            <w:pPr>
              <w:pStyle w:val="ListParagraph"/>
              <w:numPr>
                <w:ilvl w:val="0"/>
                <w:numId w:val="16"/>
              </w:numPr>
              <w:autoSpaceDE w:val="0"/>
              <w:autoSpaceDN w:val="0"/>
              <w:adjustRightInd w:val="0"/>
              <w:spacing w:before="120" w:after="120" w:line="240" w:lineRule="auto"/>
              <w:jc w:val="both"/>
              <w:rPr>
                <w:color w:val="000000"/>
                <w:sz w:val="24"/>
                <w:szCs w:val="24"/>
              </w:rPr>
            </w:pPr>
            <w:r w:rsidRPr="00AF0FFA">
              <w:rPr>
                <w:color w:val="000000"/>
                <w:sz w:val="24"/>
                <w:szCs w:val="24"/>
              </w:rPr>
              <w:t>Formation des experts marocains</w:t>
            </w:r>
          </w:p>
          <w:p w:rsidR="00AC6567" w:rsidRPr="00AF0FFA" w:rsidRDefault="00AC6567" w:rsidP="00555D1F">
            <w:pPr>
              <w:autoSpaceDE w:val="0"/>
              <w:autoSpaceDN w:val="0"/>
              <w:adjustRightInd w:val="0"/>
              <w:spacing w:before="120" w:after="120" w:line="240" w:lineRule="auto"/>
              <w:jc w:val="both"/>
              <w:rPr>
                <w:b/>
                <w:bCs/>
                <w:color w:val="000000"/>
                <w:sz w:val="24"/>
                <w:szCs w:val="24"/>
              </w:rPr>
            </w:pPr>
            <w:r w:rsidRPr="00AF0FFA">
              <w:rPr>
                <w:b/>
                <w:bCs/>
                <w:color w:val="000000"/>
                <w:sz w:val="24"/>
                <w:szCs w:val="24"/>
              </w:rPr>
              <w:t>2. Le département de l’Eau du MEMEE dispose d’un projet de Plan de gestion pour un bassin hydraulique au Maroc</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Indicateurs objectivement vérifiables :</w:t>
            </w:r>
          </w:p>
          <w:p w:rsidR="00AC6567" w:rsidRPr="00AF0FFA" w:rsidRDefault="00AC6567" w:rsidP="00AC6F89">
            <w:pPr>
              <w:pStyle w:val="ListParagraph"/>
              <w:numPr>
                <w:ilvl w:val="0"/>
                <w:numId w:val="17"/>
              </w:numPr>
              <w:autoSpaceDE w:val="0"/>
              <w:autoSpaceDN w:val="0"/>
              <w:adjustRightInd w:val="0"/>
              <w:spacing w:before="120" w:after="120" w:line="240" w:lineRule="auto"/>
              <w:jc w:val="both"/>
              <w:rPr>
                <w:color w:val="000000"/>
                <w:sz w:val="24"/>
                <w:szCs w:val="24"/>
              </w:rPr>
            </w:pPr>
            <w:r w:rsidRPr="00AF0FFA">
              <w:rPr>
                <w:color w:val="000000"/>
                <w:sz w:val="24"/>
                <w:szCs w:val="24"/>
              </w:rPr>
              <w:t>Projet de Plan de gestion pour un bassin hydraulique du Maroc approuvé par la DRPE</w:t>
            </w:r>
          </w:p>
          <w:p w:rsidR="00AC6567" w:rsidRPr="00AF0FFA" w:rsidRDefault="00AC6567" w:rsidP="00AC6F89">
            <w:pPr>
              <w:pStyle w:val="ListParagraph"/>
              <w:numPr>
                <w:ilvl w:val="0"/>
                <w:numId w:val="17"/>
              </w:numPr>
              <w:autoSpaceDE w:val="0"/>
              <w:autoSpaceDN w:val="0"/>
              <w:adjustRightInd w:val="0"/>
              <w:spacing w:before="120" w:after="120" w:line="240" w:lineRule="auto"/>
              <w:jc w:val="both"/>
              <w:rPr>
                <w:color w:val="000000"/>
                <w:sz w:val="24"/>
                <w:szCs w:val="24"/>
              </w:rPr>
            </w:pPr>
            <w:r w:rsidRPr="00AF0FFA">
              <w:rPr>
                <w:color w:val="000000"/>
                <w:sz w:val="24"/>
                <w:szCs w:val="24"/>
              </w:rPr>
              <w:t>Formation des experts marocains</w:t>
            </w:r>
          </w:p>
          <w:p w:rsidR="00AC6567" w:rsidRPr="00AF0FFA" w:rsidRDefault="00AC6567" w:rsidP="00555D1F">
            <w:pPr>
              <w:autoSpaceDE w:val="0"/>
              <w:autoSpaceDN w:val="0"/>
              <w:adjustRightInd w:val="0"/>
              <w:spacing w:before="120" w:after="120" w:line="240" w:lineRule="auto"/>
              <w:jc w:val="both"/>
              <w:rPr>
                <w:b/>
                <w:bCs/>
                <w:color w:val="000000"/>
                <w:sz w:val="24"/>
                <w:szCs w:val="24"/>
              </w:rPr>
            </w:pPr>
            <w:r w:rsidRPr="00AF0FFA">
              <w:rPr>
                <w:b/>
                <w:bCs/>
                <w:color w:val="000000"/>
                <w:sz w:val="24"/>
                <w:szCs w:val="24"/>
              </w:rPr>
              <w:t>3. Le département de l’Eau du MEMEE dispose d’un projet de Programme de convergence réglementaire du secteur de l’eau avec l’Acquis de l’Union</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Indicateurs objectivement vérifiables :</w:t>
            </w:r>
          </w:p>
          <w:p w:rsidR="00AC6567" w:rsidRPr="00AF0FFA" w:rsidRDefault="00AC6567" w:rsidP="00AC6F89">
            <w:pPr>
              <w:pStyle w:val="ListParagraph"/>
              <w:numPr>
                <w:ilvl w:val="0"/>
                <w:numId w:val="17"/>
              </w:numPr>
              <w:autoSpaceDE w:val="0"/>
              <w:autoSpaceDN w:val="0"/>
              <w:adjustRightInd w:val="0"/>
              <w:spacing w:before="120" w:after="120" w:line="240" w:lineRule="auto"/>
              <w:jc w:val="both"/>
              <w:rPr>
                <w:color w:val="000000"/>
                <w:sz w:val="24"/>
                <w:szCs w:val="24"/>
              </w:rPr>
            </w:pPr>
            <w:r w:rsidRPr="00AF0FFA">
              <w:rPr>
                <w:color w:val="000000"/>
                <w:sz w:val="24"/>
                <w:szCs w:val="24"/>
              </w:rPr>
              <w:t xml:space="preserve">Projet de Programme de convergence réglementaire du secteur de l’eau avec l’Acquis de l’Union européenne approuvé par la DRPE </w:t>
            </w:r>
            <w:r w:rsidRPr="00AF0FFA">
              <w:rPr>
                <w:sz w:val="24"/>
                <w:szCs w:val="24"/>
              </w:rPr>
              <w:t>dans la logique notamment d'une programmation nationale des mesures de convergence réglementaires</w:t>
            </w:r>
          </w:p>
          <w:p w:rsidR="00AC6567" w:rsidRPr="00AF0FFA" w:rsidRDefault="00AC6567" w:rsidP="00AC6F89">
            <w:pPr>
              <w:pStyle w:val="ListParagraph"/>
              <w:numPr>
                <w:ilvl w:val="0"/>
                <w:numId w:val="17"/>
              </w:numPr>
              <w:autoSpaceDE w:val="0"/>
              <w:autoSpaceDN w:val="0"/>
              <w:adjustRightInd w:val="0"/>
              <w:spacing w:before="120" w:after="120" w:line="240" w:lineRule="auto"/>
              <w:jc w:val="both"/>
              <w:rPr>
                <w:color w:val="000000"/>
                <w:sz w:val="24"/>
                <w:szCs w:val="24"/>
              </w:rPr>
            </w:pPr>
            <w:r w:rsidRPr="00AF0FFA">
              <w:rPr>
                <w:color w:val="000000"/>
                <w:sz w:val="24"/>
                <w:szCs w:val="24"/>
              </w:rPr>
              <w:t>Formation des experts marocains</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 xml:space="preserve">Le projet soutiendra ainsi les efforts de l’administration bénéficiaire dans le cadre du processus de rapprochement à l’Acquis de l’UE et des bonnes pratiques européennes, notamment en ce qui concerne la Directive-Cadre sur l'Eau. </w:t>
            </w:r>
            <w:r w:rsidRPr="00AF0FFA">
              <w:rPr>
                <w:sz w:val="24"/>
                <w:szCs w:val="24"/>
              </w:rPr>
              <w:t>Ce projet prendra en compte les  avancées du Gouvernement marocain dans la préparation d'un programme nationale de convergence règlementaire.</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Adoptée le 23 octobre 2000 et publiée au Journal Officiel des Communautés Européennes le 22 Décembre 2000 (date d'entrée en vigueur), la Directive-Cadre sur l'Eau (DCE) entend impulser une réelle politique européenne de l'eau, en posant le cadre d'une gestion et d'une protection des eaux par district hydrographique.</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La DCE innove à plus d'un titre. Avant tout, elle fixe un cadre européen pour la politique de l'eau, en instituant une approche globale autour d'objectifs environnementaux, avec une obligation de résultats, et en intégrant des politiques sectorielles :</w:t>
            </w:r>
          </w:p>
          <w:p w:rsidR="00AC6567" w:rsidRPr="00AF0FFA" w:rsidRDefault="00AC6567" w:rsidP="00AC6F89">
            <w:pPr>
              <w:pStyle w:val="ListParagraph"/>
              <w:numPr>
                <w:ilvl w:val="0"/>
                <w:numId w:val="18"/>
              </w:numPr>
              <w:autoSpaceDE w:val="0"/>
              <w:autoSpaceDN w:val="0"/>
              <w:adjustRightInd w:val="0"/>
              <w:spacing w:before="120" w:after="120" w:line="240" w:lineRule="auto"/>
              <w:jc w:val="both"/>
              <w:rPr>
                <w:color w:val="000000"/>
                <w:sz w:val="24"/>
                <w:szCs w:val="24"/>
              </w:rPr>
            </w:pPr>
            <w:r w:rsidRPr="00AF0FFA">
              <w:rPr>
                <w:color w:val="000000"/>
                <w:sz w:val="24"/>
                <w:szCs w:val="24"/>
              </w:rPr>
              <w:t>Elle fixe un objectif clair : atteindre le bon état écologique des eaux souterraines et superficielles en Europe pour 2015, et réduire ou supprimer les rejets de certaines substances classées comme dangereuses ou dangereuses prioritaires.</w:t>
            </w:r>
          </w:p>
          <w:p w:rsidR="00AC6567" w:rsidRPr="00AF0FFA" w:rsidRDefault="00AC6567" w:rsidP="00AC6F89">
            <w:pPr>
              <w:pStyle w:val="ListParagraph"/>
              <w:numPr>
                <w:ilvl w:val="0"/>
                <w:numId w:val="18"/>
              </w:numPr>
              <w:autoSpaceDE w:val="0"/>
              <w:autoSpaceDN w:val="0"/>
              <w:adjustRightInd w:val="0"/>
              <w:spacing w:before="120" w:after="120" w:line="240" w:lineRule="auto"/>
              <w:jc w:val="both"/>
              <w:rPr>
                <w:color w:val="000000"/>
                <w:sz w:val="24"/>
                <w:szCs w:val="24"/>
              </w:rPr>
            </w:pPr>
            <w:r w:rsidRPr="00AF0FFA">
              <w:rPr>
                <w:color w:val="000000"/>
                <w:sz w:val="24"/>
                <w:szCs w:val="24"/>
              </w:rPr>
              <w:t>Elle fixe un calendrier précis : 2015 est une date butoir, des dérogations sont possibles, mais il faudra les justifier.</w:t>
            </w:r>
          </w:p>
          <w:p w:rsidR="00AC6567" w:rsidRPr="00AF0FFA" w:rsidRDefault="00AC6567" w:rsidP="00AC6F89">
            <w:pPr>
              <w:pStyle w:val="ListParagraph"/>
              <w:numPr>
                <w:ilvl w:val="0"/>
                <w:numId w:val="18"/>
              </w:numPr>
              <w:autoSpaceDE w:val="0"/>
              <w:autoSpaceDN w:val="0"/>
              <w:adjustRightInd w:val="0"/>
              <w:spacing w:before="120" w:after="120" w:line="240" w:lineRule="auto"/>
              <w:jc w:val="both"/>
              <w:rPr>
                <w:color w:val="000000"/>
                <w:sz w:val="24"/>
                <w:szCs w:val="24"/>
              </w:rPr>
            </w:pPr>
            <w:r w:rsidRPr="00AF0FFA">
              <w:rPr>
                <w:color w:val="000000"/>
                <w:sz w:val="24"/>
                <w:szCs w:val="24"/>
              </w:rPr>
              <w:t>Le grand public est associé à la démarche, il sera consulté au moment des choix à faire pour l'avenir, ce qui est le gage d'une réelle transparence, voulue par la Commission Européenne.</w:t>
            </w:r>
          </w:p>
          <w:p w:rsidR="00AC6567" w:rsidRPr="00AF0FFA" w:rsidRDefault="00AC6567" w:rsidP="00AC6F89">
            <w:pPr>
              <w:pStyle w:val="ListParagraph"/>
              <w:numPr>
                <w:ilvl w:val="0"/>
                <w:numId w:val="18"/>
              </w:numPr>
              <w:autoSpaceDE w:val="0"/>
              <w:autoSpaceDN w:val="0"/>
              <w:adjustRightInd w:val="0"/>
              <w:spacing w:before="120" w:after="120" w:line="240" w:lineRule="auto"/>
              <w:jc w:val="both"/>
              <w:rPr>
                <w:color w:val="000000"/>
                <w:sz w:val="24"/>
                <w:szCs w:val="24"/>
              </w:rPr>
            </w:pPr>
            <w:r w:rsidRPr="00AF0FFA">
              <w:rPr>
                <w:color w:val="000000"/>
                <w:sz w:val="24"/>
                <w:szCs w:val="24"/>
              </w:rPr>
              <w:t xml:space="preserve">Elle propose une méthode de travail, pour un réel pilotage de la politique de l'eau, avec tout d'abord l'analyse de la situation, puis la définition d'objectifs, et enfin la définition, la mise en œuvre et l'évaluation d'actions nécessaires pour atteindre ces objectifs. </w:t>
            </w:r>
          </w:p>
          <w:p w:rsidR="00AC6567" w:rsidRPr="00AF0FFA" w:rsidRDefault="00AC6567" w:rsidP="00AC6F89">
            <w:pPr>
              <w:pStyle w:val="ListParagraph"/>
              <w:numPr>
                <w:ilvl w:val="0"/>
                <w:numId w:val="18"/>
              </w:numPr>
              <w:autoSpaceDE w:val="0"/>
              <w:autoSpaceDN w:val="0"/>
              <w:adjustRightInd w:val="0"/>
              <w:spacing w:before="120" w:after="120" w:line="240" w:lineRule="auto"/>
              <w:jc w:val="both"/>
              <w:rPr>
                <w:color w:val="000000"/>
                <w:sz w:val="24"/>
                <w:szCs w:val="24"/>
              </w:rPr>
            </w:pPr>
            <w:r w:rsidRPr="00AF0FFA">
              <w:rPr>
                <w:color w:val="000000"/>
                <w:sz w:val="24"/>
                <w:szCs w:val="24"/>
              </w:rPr>
              <w:t>Elle doit permettre la réalisation de comparaisons au plan européen : actuellement, les systèmes d'évaluation de la qualité des eaux et la formulation des objectifs à atteindre varient considérablement d'un pays à l'autre au sein de l'Union européenne.</w:t>
            </w:r>
          </w:p>
          <w:p w:rsidR="00AC6567" w:rsidRPr="00AF0FFA" w:rsidRDefault="00AC6567" w:rsidP="00AC6F89">
            <w:pPr>
              <w:pStyle w:val="ListParagraph"/>
              <w:numPr>
                <w:ilvl w:val="0"/>
                <w:numId w:val="18"/>
              </w:numPr>
              <w:autoSpaceDE w:val="0"/>
              <w:autoSpaceDN w:val="0"/>
              <w:adjustRightInd w:val="0"/>
              <w:spacing w:before="120" w:after="120" w:line="240" w:lineRule="auto"/>
              <w:jc w:val="both"/>
              <w:rPr>
                <w:color w:val="000000"/>
                <w:sz w:val="24"/>
                <w:szCs w:val="24"/>
              </w:rPr>
            </w:pPr>
            <w:r w:rsidRPr="00AF0FFA">
              <w:rPr>
                <w:color w:val="000000"/>
                <w:sz w:val="24"/>
                <w:szCs w:val="24"/>
              </w:rPr>
              <w:t>En construisant un référentiel commun pour l'évaluation de la qualité des eaux, la directive permettra de véritables évaluations des situations et des stratégies des Etats membres. Là aussi, la directive est un gage de transparence.</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La DCE ne remet pas en cause les fondements de la politique de l'eau des Etats membres de l’Union Européenne, bien au contraire. Elle confirme :</w:t>
            </w:r>
          </w:p>
          <w:p w:rsidR="00AC6567" w:rsidRPr="00AF0FFA" w:rsidRDefault="00AC6567" w:rsidP="00AC6F89">
            <w:pPr>
              <w:pStyle w:val="ListParagraph"/>
              <w:numPr>
                <w:ilvl w:val="0"/>
                <w:numId w:val="19"/>
              </w:numPr>
              <w:autoSpaceDE w:val="0"/>
              <w:autoSpaceDN w:val="0"/>
              <w:adjustRightInd w:val="0"/>
              <w:spacing w:before="120" w:after="120" w:line="240" w:lineRule="auto"/>
              <w:jc w:val="both"/>
              <w:rPr>
                <w:color w:val="000000"/>
                <w:sz w:val="24"/>
                <w:szCs w:val="24"/>
              </w:rPr>
            </w:pPr>
            <w:r w:rsidRPr="00AF0FFA">
              <w:rPr>
                <w:color w:val="000000"/>
                <w:sz w:val="24"/>
                <w:szCs w:val="24"/>
              </w:rPr>
              <w:t>la gestion par bassin et sa généralisation au niveau européen ;</w:t>
            </w:r>
          </w:p>
          <w:p w:rsidR="00AC6567" w:rsidRPr="00AF0FFA" w:rsidRDefault="00AC6567" w:rsidP="00AC6F89">
            <w:pPr>
              <w:pStyle w:val="ListParagraph"/>
              <w:numPr>
                <w:ilvl w:val="0"/>
                <w:numId w:val="19"/>
              </w:numPr>
              <w:autoSpaceDE w:val="0"/>
              <w:autoSpaceDN w:val="0"/>
              <w:adjustRightInd w:val="0"/>
              <w:spacing w:before="120" w:after="120" w:line="240" w:lineRule="auto"/>
              <w:jc w:val="both"/>
              <w:rPr>
                <w:color w:val="000000"/>
                <w:sz w:val="24"/>
                <w:szCs w:val="24"/>
              </w:rPr>
            </w:pPr>
            <w:r w:rsidRPr="00AF0FFA">
              <w:rPr>
                <w:color w:val="000000"/>
                <w:sz w:val="24"/>
                <w:szCs w:val="24"/>
              </w:rPr>
              <w:t>la place du milieu naturel comme élément central de la politique de l'eau ;</w:t>
            </w:r>
          </w:p>
          <w:p w:rsidR="00AC6567" w:rsidRPr="00AF0FFA" w:rsidRDefault="00AC6567" w:rsidP="00AC6F89">
            <w:pPr>
              <w:pStyle w:val="ListParagraph"/>
              <w:numPr>
                <w:ilvl w:val="0"/>
                <w:numId w:val="19"/>
              </w:numPr>
              <w:autoSpaceDE w:val="0"/>
              <w:autoSpaceDN w:val="0"/>
              <w:adjustRightInd w:val="0"/>
              <w:spacing w:before="120" w:after="120" w:line="240" w:lineRule="auto"/>
              <w:jc w:val="both"/>
              <w:rPr>
                <w:color w:val="000000"/>
                <w:sz w:val="24"/>
                <w:szCs w:val="24"/>
              </w:rPr>
            </w:pPr>
            <w:r w:rsidRPr="00AF0FFA">
              <w:rPr>
                <w:color w:val="000000"/>
                <w:sz w:val="24"/>
                <w:szCs w:val="24"/>
              </w:rPr>
              <w:t xml:space="preserve">le principe pollueur – payeur ; </w:t>
            </w:r>
          </w:p>
          <w:p w:rsidR="00AC6567" w:rsidRPr="00AF0FFA" w:rsidRDefault="00AC6567" w:rsidP="00AC6F89">
            <w:pPr>
              <w:pStyle w:val="ListParagraph"/>
              <w:numPr>
                <w:ilvl w:val="0"/>
                <w:numId w:val="19"/>
              </w:numPr>
              <w:autoSpaceDE w:val="0"/>
              <w:autoSpaceDN w:val="0"/>
              <w:adjustRightInd w:val="0"/>
              <w:spacing w:before="120" w:after="120" w:line="240" w:lineRule="auto"/>
              <w:jc w:val="both"/>
              <w:rPr>
                <w:color w:val="000000"/>
                <w:sz w:val="24"/>
                <w:szCs w:val="24"/>
              </w:rPr>
            </w:pPr>
            <w:r w:rsidRPr="00AF0FFA">
              <w:rPr>
                <w:color w:val="000000"/>
                <w:sz w:val="24"/>
                <w:szCs w:val="24"/>
              </w:rPr>
              <w:t>le rôle des acteurs de l'eau.</w:t>
            </w:r>
          </w:p>
          <w:p w:rsidR="00AC6567" w:rsidRPr="00AF0FFA" w:rsidRDefault="00AC6567" w:rsidP="00555D1F">
            <w:pPr>
              <w:autoSpaceDE w:val="0"/>
              <w:autoSpaceDN w:val="0"/>
              <w:adjustRightInd w:val="0"/>
              <w:spacing w:before="120" w:after="120" w:line="240" w:lineRule="auto"/>
              <w:jc w:val="both"/>
              <w:rPr>
                <w:color w:val="000000"/>
                <w:sz w:val="24"/>
                <w:szCs w:val="24"/>
              </w:rPr>
            </w:pPr>
            <w:r w:rsidRPr="00AF0FFA">
              <w:rPr>
                <w:color w:val="000000"/>
                <w:sz w:val="24"/>
                <w:szCs w:val="24"/>
              </w:rPr>
              <w:t>Par ailleurs, la directive intègre les thématiques de l'aménagement du territoire et de l'économie dans la politique de l'eau. La directive se veut en fait un véritable outil de planification, intégrateur des différentes politiques sectorielles, pour mieux définir et maîtriser les investissements dans le domaine de l'eau.</w:t>
            </w:r>
          </w:p>
          <w:p w:rsidR="00AC6567" w:rsidRPr="00AF0FFA" w:rsidRDefault="00AC6567" w:rsidP="00483478">
            <w:pPr>
              <w:autoSpaceDE w:val="0"/>
              <w:autoSpaceDN w:val="0"/>
              <w:adjustRightInd w:val="0"/>
              <w:spacing w:before="120" w:after="120" w:line="240" w:lineRule="auto"/>
              <w:jc w:val="center"/>
              <w:rPr>
                <w:b/>
                <w:bCs/>
                <w:color w:val="000000"/>
                <w:sz w:val="24"/>
                <w:szCs w:val="24"/>
              </w:rPr>
            </w:pPr>
            <w:r w:rsidRPr="00AF0FFA">
              <w:rPr>
                <w:noProof/>
                <w:color w:val="000000"/>
                <w:sz w:val="24"/>
                <w:szCs w:val="24"/>
                <w:lang w:eastAsia="fr-FR"/>
              </w:rPr>
              <w:pict>
                <v:shape id="Afbeelding 1" o:spid="_x0000_i1027" type="#_x0000_t75" style="width:453.75pt;height:259.5pt;visibility:visible">
                  <v:imagedata r:id="rId10" o:title=""/>
                </v:shape>
              </w:pict>
            </w:r>
            <w:r w:rsidRPr="00AF0FFA">
              <w:rPr>
                <w:b/>
                <w:bCs/>
                <w:color w:val="000000"/>
                <w:sz w:val="24"/>
                <w:szCs w:val="24"/>
              </w:rPr>
              <w:t xml:space="preserve">Diagramme 1 : la programmation et planification de la Directive Cadre sur l’Eau </w:t>
            </w:r>
          </w:p>
          <w:p w:rsidR="00AC6567" w:rsidRPr="00AF0FFA" w:rsidRDefault="00AC6567" w:rsidP="00B510C2">
            <w:pPr>
              <w:autoSpaceDE w:val="0"/>
              <w:autoSpaceDN w:val="0"/>
              <w:adjustRightInd w:val="0"/>
              <w:spacing w:before="120" w:after="120" w:line="240" w:lineRule="auto"/>
              <w:ind w:right="270"/>
              <w:jc w:val="both"/>
              <w:rPr>
                <w:color w:val="000000"/>
                <w:sz w:val="24"/>
                <w:szCs w:val="24"/>
              </w:rPr>
            </w:pPr>
            <w:r w:rsidRPr="00AF0FFA">
              <w:rPr>
                <w:color w:val="000000"/>
                <w:sz w:val="24"/>
                <w:szCs w:val="24"/>
              </w:rPr>
              <w:t>La présente fiche de projet propose de suivre dans le projet de jumelage la méthodologie et les étapes de mise en œuvre de la Directive Cadre sur l’Eau, comme montrées dans le diagramme 1, dans le bassin de Sebou.</w:t>
            </w:r>
          </w:p>
        </w:tc>
        <w:tc>
          <w:tcPr>
            <w:tcW w:w="9700" w:type="dxa"/>
          </w:tcPr>
          <w:p w:rsidR="00AC6567" w:rsidRPr="00AF0FFA" w:rsidRDefault="00AC6567" w:rsidP="00555D1F">
            <w:pPr>
              <w:autoSpaceDE w:val="0"/>
              <w:autoSpaceDN w:val="0"/>
              <w:adjustRightInd w:val="0"/>
              <w:spacing w:before="120" w:after="120" w:line="240" w:lineRule="auto"/>
              <w:jc w:val="both"/>
              <w:rPr>
                <w:color w:val="000000"/>
                <w:sz w:val="24"/>
                <w:szCs w:val="24"/>
              </w:rPr>
            </w:pPr>
          </w:p>
        </w:tc>
        <w:tc>
          <w:tcPr>
            <w:tcW w:w="9700" w:type="dxa"/>
          </w:tcPr>
          <w:p w:rsidR="00AC6567" w:rsidRPr="00AF0FFA" w:rsidRDefault="00AC6567" w:rsidP="00555D1F">
            <w:pPr>
              <w:autoSpaceDE w:val="0"/>
              <w:autoSpaceDN w:val="0"/>
              <w:adjustRightInd w:val="0"/>
              <w:spacing w:before="120" w:after="120" w:line="240" w:lineRule="auto"/>
              <w:jc w:val="both"/>
              <w:rPr>
                <w:color w:val="000000"/>
                <w:sz w:val="24"/>
                <w:szCs w:val="24"/>
              </w:rPr>
            </w:pPr>
          </w:p>
        </w:tc>
      </w:tr>
    </w:tbl>
    <w:p w:rsidR="00AC6567" w:rsidRPr="00155AEB" w:rsidRDefault="00AC6567" w:rsidP="00555D1F">
      <w:pPr>
        <w:autoSpaceDE w:val="0"/>
        <w:autoSpaceDN w:val="0"/>
        <w:adjustRightInd w:val="0"/>
        <w:spacing w:before="120" w:after="120" w:line="240" w:lineRule="auto"/>
        <w:rPr>
          <w:b/>
          <w:bCs/>
          <w:sz w:val="24"/>
          <w:szCs w:val="24"/>
        </w:rPr>
      </w:pPr>
      <w:r w:rsidRPr="00155AEB">
        <w:rPr>
          <w:b/>
          <w:bCs/>
          <w:sz w:val="24"/>
          <w:szCs w:val="24"/>
        </w:rPr>
        <w:t xml:space="preserve">3.4 Les activités: </w:t>
      </w:r>
    </w:p>
    <w:p w:rsidR="00AC6567" w:rsidRPr="00155AEB" w:rsidRDefault="00AC6567" w:rsidP="001051A3">
      <w:pPr>
        <w:spacing w:before="120" w:after="120" w:line="240" w:lineRule="auto"/>
        <w:jc w:val="both"/>
        <w:rPr>
          <w:sz w:val="24"/>
          <w:szCs w:val="24"/>
        </w:rPr>
      </w:pPr>
      <w:r w:rsidRPr="00155AEB">
        <w:rPr>
          <w:sz w:val="24"/>
          <w:szCs w:val="24"/>
        </w:rPr>
        <w:t xml:space="preserve">Les activités </w:t>
      </w:r>
      <w:r>
        <w:rPr>
          <w:sz w:val="24"/>
          <w:szCs w:val="24"/>
        </w:rPr>
        <w:t xml:space="preserve">décrites </w:t>
      </w:r>
      <w:r w:rsidRPr="00155AEB">
        <w:rPr>
          <w:sz w:val="24"/>
          <w:szCs w:val="24"/>
        </w:rPr>
        <w:t>ci-dessous</w:t>
      </w:r>
      <w:r>
        <w:rPr>
          <w:sz w:val="24"/>
          <w:szCs w:val="24"/>
        </w:rPr>
        <w:t xml:space="preserve"> (notamment dans les tableaux au point 3.4.2)</w:t>
      </w:r>
      <w:r w:rsidRPr="00155AEB">
        <w:rPr>
          <w:sz w:val="24"/>
          <w:szCs w:val="24"/>
        </w:rPr>
        <w:t xml:space="preserve"> </w:t>
      </w:r>
      <w:r>
        <w:rPr>
          <w:sz w:val="24"/>
          <w:szCs w:val="24"/>
        </w:rPr>
        <w:t>portent sur</w:t>
      </w:r>
      <w:r w:rsidRPr="00155AEB">
        <w:rPr>
          <w:sz w:val="24"/>
          <w:szCs w:val="24"/>
        </w:rPr>
        <w:t xml:space="preserve"> le nombre des experts </w:t>
      </w:r>
      <w:r>
        <w:rPr>
          <w:sz w:val="24"/>
          <w:szCs w:val="24"/>
        </w:rPr>
        <w:t>courts termes</w:t>
      </w:r>
      <w:r w:rsidRPr="00155AEB">
        <w:rPr>
          <w:sz w:val="24"/>
          <w:szCs w:val="24"/>
        </w:rPr>
        <w:t>, la méthodologie et le contenu des activités ainsi</w:t>
      </w:r>
      <w:r>
        <w:rPr>
          <w:sz w:val="24"/>
          <w:szCs w:val="24"/>
        </w:rPr>
        <w:t xml:space="preserve"> que les livrables</w:t>
      </w:r>
      <w:r w:rsidRPr="00155AEB">
        <w:rPr>
          <w:sz w:val="24"/>
          <w:szCs w:val="24"/>
        </w:rPr>
        <w:t xml:space="preserve">. La méthodologie doit être détaillée pendant la période de </w:t>
      </w:r>
      <w:r>
        <w:rPr>
          <w:sz w:val="24"/>
          <w:szCs w:val="24"/>
        </w:rPr>
        <w:t>contractualisation</w:t>
      </w:r>
      <w:r w:rsidRPr="00155AEB">
        <w:rPr>
          <w:sz w:val="24"/>
          <w:szCs w:val="24"/>
        </w:rPr>
        <w:t xml:space="preserve"> du Projet de jumelage. </w:t>
      </w:r>
      <w:r>
        <w:rPr>
          <w:sz w:val="24"/>
          <w:szCs w:val="24"/>
        </w:rPr>
        <w:t xml:space="preserve">Les </w:t>
      </w:r>
      <w:r w:rsidRPr="00155AEB">
        <w:rPr>
          <w:sz w:val="24"/>
          <w:szCs w:val="24"/>
        </w:rPr>
        <w:t>activités ser</w:t>
      </w:r>
      <w:r>
        <w:rPr>
          <w:sz w:val="24"/>
          <w:szCs w:val="24"/>
        </w:rPr>
        <w:t xml:space="preserve">ont </w:t>
      </w:r>
      <w:r w:rsidRPr="00155AEB">
        <w:rPr>
          <w:sz w:val="24"/>
          <w:szCs w:val="24"/>
        </w:rPr>
        <w:t>exécuté</w:t>
      </w:r>
      <w:r>
        <w:rPr>
          <w:sz w:val="24"/>
          <w:szCs w:val="24"/>
        </w:rPr>
        <w:t>es</w:t>
      </w:r>
      <w:r w:rsidRPr="00155AEB">
        <w:rPr>
          <w:sz w:val="24"/>
          <w:szCs w:val="24"/>
        </w:rPr>
        <w:t xml:space="preserve"> </w:t>
      </w:r>
      <w:r>
        <w:rPr>
          <w:sz w:val="24"/>
          <w:szCs w:val="24"/>
        </w:rPr>
        <w:t xml:space="preserve">dans </w:t>
      </w:r>
      <w:r w:rsidRPr="00155AEB">
        <w:rPr>
          <w:sz w:val="24"/>
          <w:szCs w:val="24"/>
        </w:rPr>
        <w:t>un esprit de jumelage</w:t>
      </w:r>
      <w:r>
        <w:rPr>
          <w:sz w:val="24"/>
          <w:szCs w:val="24"/>
        </w:rPr>
        <w:t xml:space="preserve">, en </w:t>
      </w:r>
      <w:r w:rsidRPr="00155AEB">
        <w:rPr>
          <w:sz w:val="24"/>
          <w:szCs w:val="24"/>
        </w:rPr>
        <w:t xml:space="preserve">contact </w:t>
      </w:r>
      <w:r>
        <w:rPr>
          <w:sz w:val="24"/>
          <w:szCs w:val="24"/>
        </w:rPr>
        <w:t xml:space="preserve">direct et des échanges mutuelles </w:t>
      </w:r>
      <w:r w:rsidRPr="00155AEB">
        <w:rPr>
          <w:sz w:val="24"/>
          <w:szCs w:val="24"/>
        </w:rPr>
        <w:t>entre les experts de l</w:t>
      </w:r>
      <w:r>
        <w:rPr>
          <w:sz w:val="24"/>
          <w:szCs w:val="24"/>
        </w:rPr>
        <w:t>’Union Européenne et les spécialistes</w:t>
      </w:r>
      <w:r w:rsidRPr="00155AEB">
        <w:rPr>
          <w:sz w:val="24"/>
          <w:szCs w:val="24"/>
        </w:rPr>
        <w:t xml:space="preserve"> </w:t>
      </w:r>
      <w:r>
        <w:rPr>
          <w:sz w:val="24"/>
          <w:szCs w:val="24"/>
        </w:rPr>
        <w:t>de l’administration bénéficiaire</w:t>
      </w:r>
      <w:r w:rsidRPr="00155AEB">
        <w:rPr>
          <w:sz w:val="24"/>
          <w:szCs w:val="24"/>
        </w:rPr>
        <w:t xml:space="preserve"> </w:t>
      </w:r>
      <w:r>
        <w:rPr>
          <w:sz w:val="24"/>
          <w:szCs w:val="24"/>
        </w:rPr>
        <w:t xml:space="preserve">moyennant </w:t>
      </w:r>
      <w:r w:rsidRPr="00155AEB">
        <w:rPr>
          <w:sz w:val="24"/>
          <w:szCs w:val="24"/>
        </w:rPr>
        <w:t>de</w:t>
      </w:r>
      <w:r>
        <w:rPr>
          <w:sz w:val="24"/>
          <w:szCs w:val="24"/>
        </w:rPr>
        <w:t>s</w:t>
      </w:r>
      <w:r w:rsidRPr="00155AEB">
        <w:rPr>
          <w:sz w:val="24"/>
          <w:szCs w:val="24"/>
        </w:rPr>
        <w:t xml:space="preserve"> formation</w:t>
      </w:r>
      <w:r>
        <w:rPr>
          <w:sz w:val="24"/>
          <w:szCs w:val="24"/>
        </w:rPr>
        <w:t>s</w:t>
      </w:r>
      <w:r w:rsidRPr="00155AEB">
        <w:rPr>
          <w:sz w:val="24"/>
          <w:szCs w:val="24"/>
        </w:rPr>
        <w:t>, atelier</w:t>
      </w:r>
      <w:r>
        <w:rPr>
          <w:sz w:val="24"/>
          <w:szCs w:val="24"/>
        </w:rPr>
        <w:t>s</w:t>
      </w:r>
      <w:r w:rsidRPr="00155AEB">
        <w:rPr>
          <w:sz w:val="24"/>
          <w:szCs w:val="24"/>
        </w:rPr>
        <w:t xml:space="preserve">, stages, formation de formateurs et </w:t>
      </w:r>
      <w:r>
        <w:rPr>
          <w:sz w:val="24"/>
          <w:szCs w:val="24"/>
        </w:rPr>
        <w:t xml:space="preserve">par des </w:t>
      </w:r>
      <w:r w:rsidRPr="00155AEB">
        <w:rPr>
          <w:sz w:val="24"/>
          <w:szCs w:val="24"/>
        </w:rPr>
        <w:t xml:space="preserve">apports </w:t>
      </w:r>
      <w:r>
        <w:rPr>
          <w:sz w:val="24"/>
          <w:szCs w:val="24"/>
        </w:rPr>
        <w:t xml:space="preserve">de </w:t>
      </w:r>
      <w:r w:rsidRPr="00155AEB">
        <w:rPr>
          <w:sz w:val="24"/>
          <w:szCs w:val="24"/>
        </w:rPr>
        <w:t xml:space="preserve">logiciels, </w:t>
      </w:r>
      <w:r>
        <w:rPr>
          <w:sz w:val="24"/>
          <w:szCs w:val="24"/>
        </w:rPr>
        <w:t xml:space="preserve">de la </w:t>
      </w:r>
      <w:r w:rsidRPr="00155AEB">
        <w:rPr>
          <w:sz w:val="24"/>
          <w:szCs w:val="24"/>
        </w:rPr>
        <w:t>docum</w:t>
      </w:r>
      <w:r>
        <w:rPr>
          <w:sz w:val="24"/>
          <w:szCs w:val="24"/>
        </w:rPr>
        <w:t>entation</w:t>
      </w:r>
      <w:r w:rsidRPr="00155AEB">
        <w:rPr>
          <w:sz w:val="24"/>
          <w:szCs w:val="24"/>
        </w:rPr>
        <w:t xml:space="preserve"> etc.</w:t>
      </w:r>
    </w:p>
    <w:p w:rsidR="00AC6567" w:rsidRDefault="00AC6567" w:rsidP="00555D1F">
      <w:pPr>
        <w:spacing w:before="120" w:after="120" w:line="240" w:lineRule="auto"/>
        <w:jc w:val="both"/>
        <w:rPr>
          <w:b/>
          <w:bCs/>
          <w:sz w:val="24"/>
          <w:szCs w:val="24"/>
        </w:rPr>
      </w:pPr>
    </w:p>
    <w:p w:rsidR="00AC6567" w:rsidRPr="00155AEB" w:rsidRDefault="00AC6567" w:rsidP="00555D1F">
      <w:pPr>
        <w:spacing w:before="120" w:after="120" w:line="240" w:lineRule="auto"/>
        <w:jc w:val="both"/>
        <w:rPr>
          <w:b/>
          <w:bCs/>
          <w:sz w:val="24"/>
          <w:szCs w:val="24"/>
        </w:rPr>
      </w:pPr>
      <w:r w:rsidRPr="00155AEB">
        <w:rPr>
          <w:b/>
          <w:bCs/>
          <w:sz w:val="24"/>
          <w:szCs w:val="24"/>
        </w:rPr>
        <w:t>3.4.1. Activités générales (composante 0)</w:t>
      </w:r>
    </w:p>
    <w:p w:rsidR="00AC6567" w:rsidRDefault="00AC6567" w:rsidP="00555D1F">
      <w:pPr>
        <w:spacing w:before="120" w:after="120" w:line="240" w:lineRule="auto"/>
        <w:jc w:val="both"/>
        <w:rPr>
          <w:sz w:val="24"/>
          <w:szCs w:val="24"/>
        </w:rPr>
      </w:pPr>
      <w:r w:rsidRPr="00155AEB">
        <w:rPr>
          <w:sz w:val="24"/>
          <w:szCs w:val="24"/>
        </w:rPr>
        <w:t xml:space="preserve">En plus des activités liées aux trois composantes de cette action, ce projet organisera également trois activités générales de façon à s’assurer de sa visibilité : une au moment du lancement du projet, une seconde </w:t>
      </w:r>
      <w:r>
        <w:rPr>
          <w:sz w:val="24"/>
          <w:szCs w:val="24"/>
        </w:rPr>
        <w:t>à mi-parcours</w:t>
      </w:r>
      <w:r w:rsidRPr="00155AEB">
        <w:rPr>
          <w:sz w:val="24"/>
          <w:szCs w:val="24"/>
        </w:rPr>
        <w:t xml:space="preserve"> dans le bassin pilote et une troisième, visant à présenter les résultats obtenus lors de l’achèvement du projet. De plus, et pour assurer une gestion et un mécanisme de suivi efficaces, des réunions régulières du Comité de pilotage seront organisées. </w:t>
      </w:r>
    </w:p>
    <w:p w:rsidR="00AC6567" w:rsidRPr="00155AEB" w:rsidRDefault="00AC6567" w:rsidP="00555D1F">
      <w:pPr>
        <w:spacing w:before="120" w:after="120" w:line="240" w:lineRule="auto"/>
        <w:jc w:val="both"/>
        <w:rPr>
          <w:sz w:val="24"/>
          <w:szCs w:val="24"/>
        </w:rPr>
      </w:pPr>
    </w:p>
    <w:p w:rsidR="00AC6567" w:rsidRPr="00155AEB" w:rsidRDefault="00AC6567" w:rsidP="00555D1F">
      <w:pPr>
        <w:spacing w:before="120" w:after="120" w:line="240" w:lineRule="auto"/>
        <w:jc w:val="both"/>
        <w:rPr>
          <w:b/>
          <w:bCs/>
          <w:sz w:val="24"/>
          <w:szCs w:val="24"/>
        </w:rPr>
      </w:pPr>
      <w:r w:rsidRPr="00155AEB">
        <w:rPr>
          <w:b/>
          <w:bCs/>
          <w:sz w:val="24"/>
          <w:szCs w:val="24"/>
        </w:rPr>
        <w:t>Activité 0.1: Organiser une conférence de lancement</w:t>
      </w:r>
    </w:p>
    <w:p w:rsidR="00AC6567" w:rsidRPr="00155AEB" w:rsidRDefault="00AC6567" w:rsidP="00555D1F">
      <w:pPr>
        <w:spacing w:before="120" w:after="120" w:line="240" w:lineRule="auto"/>
        <w:jc w:val="both"/>
        <w:rPr>
          <w:sz w:val="24"/>
          <w:szCs w:val="24"/>
        </w:rPr>
      </w:pPr>
      <w:r w:rsidRPr="00155AEB">
        <w:rPr>
          <w:sz w:val="24"/>
          <w:szCs w:val="24"/>
        </w:rPr>
        <w:t>Le premier mois du projet sera utilisé pour la réalisation des activités de démarrage ainsi que pour l’installation du Conseiller Résident de Jumelage (CRJ). Le CRJ recrutera un assistant au moyen de procédures de sélection appropriées.</w:t>
      </w:r>
    </w:p>
    <w:p w:rsidR="00AC6567" w:rsidRPr="00155AEB" w:rsidRDefault="00AC6567" w:rsidP="00555D1F">
      <w:pPr>
        <w:spacing w:before="120" w:after="120" w:line="240" w:lineRule="auto"/>
        <w:jc w:val="both"/>
        <w:rPr>
          <w:sz w:val="24"/>
          <w:szCs w:val="24"/>
        </w:rPr>
      </w:pPr>
      <w:r w:rsidRPr="00155AEB">
        <w:rPr>
          <w:sz w:val="24"/>
          <w:szCs w:val="24"/>
        </w:rPr>
        <w:t xml:space="preserve">Pendant cette période de démarrage, le CRJ organisera une </w:t>
      </w:r>
      <w:r>
        <w:rPr>
          <w:sz w:val="24"/>
          <w:szCs w:val="24"/>
        </w:rPr>
        <w:t xml:space="preserve">conférence </w:t>
      </w:r>
      <w:r w:rsidRPr="00155AEB">
        <w:rPr>
          <w:sz w:val="24"/>
          <w:szCs w:val="24"/>
        </w:rPr>
        <w:t xml:space="preserve">de lancement, avec comme objectif de permettre un premier contact officiel avec toutes les parties prenantes impliquées dans le projet et présenter le projet à la presse. Cette </w:t>
      </w:r>
      <w:r>
        <w:rPr>
          <w:sz w:val="24"/>
          <w:szCs w:val="24"/>
        </w:rPr>
        <w:t>conférence</w:t>
      </w:r>
      <w:r w:rsidRPr="00155AEB">
        <w:rPr>
          <w:sz w:val="24"/>
          <w:szCs w:val="24"/>
        </w:rPr>
        <w:t xml:space="preserve"> s’achèvera par une conférence de presse et la distribution d’un communiqué de presse. Cette manifestation sera de nature opérationnelle et les participants incluront – entre autres – les représentants de la DUE, du MEF (y compris de la CAP-RSA), </w:t>
      </w:r>
      <w:r>
        <w:rPr>
          <w:sz w:val="24"/>
          <w:szCs w:val="24"/>
        </w:rPr>
        <w:t xml:space="preserve">du MAEC (y compris de l'UAP), </w:t>
      </w:r>
      <w:r w:rsidRPr="00155AEB">
        <w:rPr>
          <w:sz w:val="24"/>
          <w:szCs w:val="24"/>
        </w:rPr>
        <w:t>du Directeur de la DRPE, le Chef de projet et le CRJ ainsi que leurs homologues du côté de l’administration bénéficiaire. Cet atelier de lancement fournira aux participants l’opportunité de recevoir une information détaillée au sujet des objectifs du projet, des résultats obligatoires et du plan d’action. Un rapport concis incluant des photos sera produit à l’issue de cet évènement.</w:t>
      </w:r>
    </w:p>
    <w:p w:rsidR="00AC6567" w:rsidRPr="00155AEB" w:rsidRDefault="00AC6567" w:rsidP="00555D1F">
      <w:pPr>
        <w:spacing w:before="120" w:after="120" w:line="240" w:lineRule="auto"/>
        <w:jc w:val="both"/>
        <w:rPr>
          <w:sz w:val="24"/>
          <w:szCs w:val="24"/>
        </w:rPr>
      </w:pPr>
      <w:r w:rsidRPr="00155AEB">
        <w:rPr>
          <w:sz w:val="24"/>
          <w:szCs w:val="24"/>
        </w:rPr>
        <w:t>Nombre indicatif de jours ouvrés d’experts alloués :</w:t>
      </w:r>
    </w:p>
    <w:p w:rsidR="00AC6567" w:rsidRPr="00155AEB" w:rsidRDefault="00AC6567" w:rsidP="00555D1F">
      <w:pPr>
        <w:spacing w:before="120" w:after="120" w:line="240" w:lineRule="auto"/>
        <w:jc w:val="both"/>
        <w:rPr>
          <w:sz w:val="24"/>
          <w:szCs w:val="24"/>
        </w:rPr>
      </w:pPr>
      <w:r w:rsidRPr="00155AEB">
        <w:rPr>
          <w:sz w:val="24"/>
          <w:szCs w:val="24"/>
        </w:rPr>
        <w:t>EM :</w:t>
      </w:r>
      <w:r w:rsidRPr="00155AEB">
        <w:rPr>
          <w:sz w:val="24"/>
          <w:szCs w:val="24"/>
        </w:rPr>
        <w:tab/>
      </w:r>
      <w:r w:rsidRPr="00155AEB">
        <w:rPr>
          <w:sz w:val="24"/>
          <w:szCs w:val="24"/>
        </w:rPr>
        <w:tab/>
      </w:r>
      <w:r w:rsidRPr="00155AEB">
        <w:rPr>
          <w:sz w:val="24"/>
          <w:szCs w:val="24"/>
        </w:rPr>
        <w:tab/>
      </w:r>
      <w:r w:rsidRPr="00155AEB">
        <w:rPr>
          <w:sz w:val="24"/>
          <w:szCs w:val="24"/>
        </w:rPr>
        <w:tab/>
      </w:r>
      <w:r w:rsidRPr="00155AEB">
        <w:rPr>
          <w:sz w:val="24"/>
          <w:szCs w:val="24"/>
        </w:rPr>
        <w:tab/>
      </w:r>
      <w:r w:rsidRPr="00155AEB">
        <w:rPr>
          <w:sz w:val="24"/>
          <w:szCs w:val="24"/>
        </w:rPr>
        <w:tab/>
        <w:t>CRJ, Chef de Projet (CP)</w:t>
      </w:r>
    </w:p>
    <w:p w:rsidR="00AC6567" w:rsidRPr="00155AEB" w:rsidRDefault="00AC6567" w:rsidP="00555D1F">
      <w:pPr>
        <w:spacing w:before="120" w:after="120" w:line="240" w:lineRule="auto"/>
        <w:jc w:val="both"/>
        <w:rPr>
          <w:sz w:val="24"/>
          <w:szCs w:val="24"/>
        </w:rPr>
      </w:pPr>
      <w:r w:rsidRPr="00155AEB">
        <w:rPr>
          <w:sz w:val="24"/>
          <w:szCs w:val="24"/>
        </w:rPr>
        <w:t xml:space="preserve">Expertise Etat Membre (h/j) :   </w:t>
      </w:r>
      <w:r w:rsidRPr="00155AEB">
        <w:rPr>
          <w:sz w:val="24"/>
          <w:szCs w:val="24"/>
        </w:rPr>
        <w:tab/>
      </w:r>
      <w:r w:rsidRPr="00155AEB">
        <w:rPr>
          <w:sz w:val="24"/>
          <w:szCs w:val="24"/>
        </w:rPr>
        <w:tab/>
        <w:t>cinq jours ouvrables (CP)</w:t>
      </w:r>
    </w:p>
    <w:p w:rsidR="00AC6567" w:rsidRDefault="00AC6567" w:rsidP="00555D1F">
      <w:pPr>
        <w:spacing w:before="120" w:after="120" w:line="240" w:lineRule="auto"/>
        <w:jc w:val="both"/>
        <w:rPr>
          <w:b/>
          <w:bCs/>
          <w:sz w:val="24"/>
          <w:szCs w:val="24"/>
        </w:rPr>
      </w:pPr>
    </w:p>
    <w:p w:rsidR="00AC6567" w:rsidRPr="00155AEB" w:rsidRDefault="00AC6567" w:rsidP="00555D1F">
      <w:pPr>
        <w:spacing w:before="120" w:after="120" w:line="240" w:lineRule="auto"/>
        <w:jc w:val="both"/>
        <w:rPr>
          <w:b/>
          <w:bCs/>
          <w:sz w:val="24"/>
          <w:szCs w:val="24"/>
        </w:rPr>
      </w:pPr>
      <w:r w:rsidRPr="00155AEB">
        <w:rPr>
          <w:b/>
          <w:bCs/>
          <w:sz w:val="24"/>
          <w:szCs w:val="24"/>
        </w:rPr>
        <w:t>Ac</w:t>
      </w:r>
      <w:r>
        <w:rPr>
          <w:b/>
          <w:bCs/>
          <w:sz w:val="24"/>
          <w:szCs w:val="24"/>
        </w:rPr>
        <w:t>tivité 0.2: Conférence à mi-parcours</w:t>
      </w:r>
    </w:p>
    <w:p w:rsidR="00AC6567" w:rsidRPr="00155AEB" w:rsidRDefault="00AC6567" w:rsidP="00555D1F">
      <w:pPr>
        <w:spacing w:before="120" w:after="120" w:line="240" w:lineRule="auto"/>
        <w:jc w:val="both"/>
        <w:rPr>
          <w:sz w:val="24"/>
          <w:szCs w:val="24"/>
        </w:rPr>
      </w:pPr>
      <w:r w:rsidRPr="00155AEB">
        <w:rPr>
          <w:sz w:val="24"/>
          <w:szCs w:val="24"/>
        </w:rPr>
        <w:t>Cette conférence sera organisé</w:t>
      </w:r>
      <w:r>
        <w:rPr>
          <w:sz w:val="24"/>
          <w:szCs w:val="24"/>
        </w:rPr>
        <w:t>e</w:t>
      </w:r>
      <w:r w:rsidRPr="00155AEB">
        <w:rPr>
          <w:sz w:val="24"/>
          <w:szCs w:val="24"/>
        </w:rPr>
        <w:t xml:space="preserve"> au </w:t>
      </w:r>
      <w:r>
        <w:rPr>
          <w:sz w:val="24"/>
          <w:szCs w:val="24"/>
        </w:rPr>
        <w:t xml:space="preserve">moment du lancement </w:t>
      </w:r>
      <w:r w:rsidRPr="00155AEB">
        <w:rPr>
          <w:sz w:val="24"/>
          <w:szCs w:val="24"/>
        </w:rPr>
        <w:t>de la composante 2 (le projet d’un plan de gestion pour le bassin pilote</w:t>
      </w:r>
      <w:r>
        <w:rPr>
          <w:sz w:val="24"/>
          <w:szCs w:val="24"/>
        </w:rPr>
        <w:t>)</w:t>
      </w:r>
      <w:r w:rsidRPr="00155AEB">
        <w:rPr>
          <w:sz w:val="24"/>
          <w:szCs w:val="24"/>
        </w:rPr>
        <w:t>. Cette conférence permettra d’améliorer la visibilité du projet dans le bassin et de mobiliser les parties prenantes dans le bassin</w:t>
      </w:r>
      <w:r>
        <w:rPr>
          <w:sz w:val="24"/>
          <w:szCs w:val="24"/>
        </w:rPr>
        <w:t xml:space="preserve"> (notamment les autres ABH), y compris la société civile et </w:t>
      </w:r>
      <w:r w:rsidRPr="00155AEB">
        <w:rPr>
          <w:sz w:val="24"/>
          <w:szCs w:val="24"/>
        </w:rPr>
        <w:t>les part</w:t>
      </w:r>
      <w:r>
        <w:rPr>
          <w:sz w:val="24"/>
          <w:szCs w:val="24"/>
        </w:rPr>
        <w:t xml:space="preserve">enaires institutionnels, tels que </w:t>
      </w:r>
      <w:r w:rsidRPr="00155AEB">
        <w:rPr>
          <w:sz w:val="24"/>
          <w:szCs w:val="24"/>
        </w:rPr>
        <w:t xml:space="preserve">les représentants de la DUE, du MEF (y compris de la CAP-RSA), </w:t>
      </w:r>
      <w:r>
        <w:rPr>
          <w:sz w:val="24"/>
          <w:szCs w:val="24"/>
        </w:rPr>
        <w:t xml:space="preserve">du MAEC (y compris de l'UAP), </w:t>
      </w:r>
      <w:r w:rsidRPr="00155AEB">
        <w:rPr>
          <w:sz w:val="24"/>
          <w:szCs w:val="24"/>
        </w:rPr>
        <w:t>du Directeur de la DRPE, le Chef de projet et le CRJ ainsi que leurs homologues du côté de l’administration bénéficiaire</w:t>
      </w:r>
      <w:r>
        <w:rPr>
          <w:sz w:val="24"/>
          <w:szCs w:val="24"/>
        </w:rPr>
        <w:t>.</w:t>
      </w:r>
    </w:p>
    <w:p w:rsidR="00AC6567" w:rsidRPr="00155AEB" w:rsidRDefault="00AC6567" w:rsidP="00555D1F">
      <w:pPr>
        <w:spacing w:before="120" w:after="120" w:line="240" w:lineRule="auto"/>
        <w:jc w:val="both"/>
        <w:rPr>
          <w:sz w:val="24"/>
          <w:szCs w:val="24"/>
        </w:rPr>
      </w:pPr>
      <w:r w:rsidRPr="00155AEB">
        <w:rPr>
          <w:sz w:val="24"/>
          <w:szCs w:val="24"/>
        </w:rPr>
        <w:t>Nombre indicatif de jours ouvrés d’experts alloués :</w:t>
      </w:r>
    </w:p>
    <w:p w:rsidR="00AC6567" w:rsidRPr="00155AEB" w:rsidRDefault="00AC6567" w:rsidP="00555D1F">
      <w:pPr>
        <w:spacing w:before="120" w:after="120" w:line="240" w:lineRule="auto"/>
        <w:jc w:val="both"/>
        <w:rPr>
          <w:sz w:val="24"/>
          <w:szCs w:val="24"/>
        </w:rPr>
      </w:pPr>
      <w:r w:rsidRPr="00155AEB">
        <w:rPr>
          <w:sz w:val="24"/>
          <w:szCs w:val="24"/>
        </w:rPr>
        <w:t>EM :</w:t>
      </w:r>
      <w:r w:rsidRPr="00155AEB">
        <w:rPr>
          <w:sz w:val="24"/>
          <w:szCs w:val="24"/>
        </w:rPr>
        <w:tab/>
      </w:r>
      <w:r w:rsidRPr="00155AEB">
        <w:rPr>
          <w:sz w:val="24"/>
          <w:szCs w:val="24"/>
        </w:rPr>
        <w:tab/>
      </w:r>
      <w:r w:rsidRPr="00155AEB">
        <w:rPr>
          <w:sz w:val="24"/>
          <w:szCs w:val="24"/>
        </w:rPr>
        <w:tab/>
      </w:r>
      <w:r w:rsidRPr="00155AEB">
        <w:rPr>
          <w:sz w:val="24"/>
          <w:szCs w:val="24"/>
        </w:rPr>
        <w:tab/>
      </w:r>
      <w:r w:rsidRPr="00155AEB">
        <w:rPr>
          <w:sz w:val="24"/>
          <w:szCs w:val="24"/>
        </w:rPr>
        <w:tab/>
      </w:r>
      <w:r w:rsidRPr="00155AEB">
        <w:rPr>
          <w:sz w:val="24"/>
          <w:szCs w:val="24"/>
        </w:rPr>
        <w:tab/>
        <w:t>CRJ, Chef de Projet (CP)</w:t>
      </w:r>
    </w:p>
    <w:p w:rsidR="00AC6567" w:rsidRPr="00155AEB" w:rsidRDefault="00AC6567" w:rsidP="00555D1F">
      <w:pPr>
        <w:spacing w:before="120" w:after="120" w:line="240" w:lineRule="auto"/>
        <w:jc w:val="both"/>
        <w:rPr>
          <w:sz w:val="24"/>
          <w:szCs w:val="24"/>
        </w:rPr>
      </w:pPr>
      <w:r w:rsidRPr="00155AEB">
        <w:rPr>
          <w:sz w:val="24"/>
          <w:szCs w:val="24"/>
        </w:rPr>
        <w:t xml:space="preserve">Expertise Etat Membre (h/j) :   </w:t>
      </w:r>
      <w:r w:rsidRPr="00155AEB">
        <w:rPr>
          <w:sz w:val="24"/>
          <w:szCs w:val="24"/>
        </w:rPr>
        <w:tab/>
      </w:r>
      <w:r w:rsidRPr="00155AEB">
        <w:rPr>
          <w:sz w:val="24"/>
          <w:szCs w:val="24"/>
        </w:rPr>
        <w:tab/>
        <w:t>cinq jours ouvrables (CP)</w:t>
      </w:r>
    </w:p>
    <w:p w:rsidR="00AC6567" w:rsidRDefault="00AC6567" w:rsidP="00555D1F">
      <w:pPr>
        <w:spacing w:before="120" w:after="120" w:line="240" w:lineRule="auto"/>
        <w:jc w:val="both"/>
        <w:rPr>
          <w:b/>
          <w:bCs/>
          <w:sz w:val="24"/>
          <w:szCs w:val="24"/>
        </w:rPr>
      </w:pPr>
    </w:p>
    <w:p w:rsidR="00AC6567" w:rsidRPr="00155AEB" w:rsidRDefault="00AC6567" w:rsidP="00555D1F">
      <w:pPr>
        <w:spacing w:before="120" w:after="120" w:line="240" w:lineRule="auto"/>
        <w:jc w:val="both"/>
        <w:rPr>
          <w:b/>
          <w:bCs/>
          <w:sz w:val="24"/>
          <w:szCs w:val="24"/>
        </w:rPr>
      </w:pPr>
      <w:r w:rsidRPr="00155AEB">
        <w:rPr>
          <w:b/>
          <w:bCs/>
          <w:sz w:val="24"/>
          <w:szCs w:val="24"/>
        </w:rPr>
        <w:t xml:space="preserve">Activité 0.3 : Organiser une conférence de clôture </w:t>
      </w:r>
    </w:p>
    <w:p w:rsidR="00AC6567" w:rsidRPr="00B510C2" w:rsidRDefault="00AC6567" w:rsidP="00555D1F">
      <w:pPr>
        <w:spacing w:before="120" w:after="120" w:line="240" w:lineRule="auto"/>
        <w:jc w:val="both"/>
        <w:rPr>
          <w:b/>
          <w:bCs/>
          <w:sz w:val="24"/>
          <w:szCs w:val="24"/>
        </w:rPr>
      </w:pPr>
      <w:r w:rsidRPr="00155AEB">
        <w:rPr>
          <w:sz w:val="24"/>
          <w:szCs w:val="24"/>
        </w:rPr>
        <w:t xml:space="preserve">Pendant les deux derniers mois du projet, une conférence de clôture sera organisée. Celle-ci permettra de présenter les résultats du projet. Le but de cette activité consistera également à disséminer les résultats du projet et créer une sensibilisation auprès du public. </w:t>
      </w:r>
      <w:r>
        <w:rPr>
          <w:sz w:val="24"/>
          <w:szCs w:val="24"/>
        </w:rPr>
        <w:t>Dans ce cadre, une</w:t>
      </w:r>
      <w:r w:rsidRPr="00155AEB">
        <w:rPr>
          <w:sz w:val="24"/>
          <w:szCs w:val="24"/>
        </w:rPr>
        <w:t xml:space="preserve"> table ronde aura lieu à Rabat et toutes les parties prenantes du projet seront invitées à y participer</w:t>
      </w:r>
      <w:r>
        <w:rPr>
          <w:sz w:val="24"/>
          <w:szCs w:val="24"/>
        </w:rPr>
        <w:t xml:space="preserve"> (notamment les ABH), y compris la société civile et </w:t>
      </w:r>
      <w:r w:rsidRPr="00155AEB">
        <w:rPr>
          <w:sz w:val="24"/>
          <w:szCs w:val="24"/>
        </w:rPr>
        <w:t>les part</w:t>
      </w:r>
      <w:r>
        <w:rPr>
          <w:sz w:val="24"/>
          <w:szCs w:val="24"/>
        </w:rPr>
        <w:t xml:space="preserve">enaires institutionnels, tels que </w:t>
      </w:r>
      <w:r w:rsidRPr="00155AEB">
        <w:rPr>
          <w:sz w:val="24"/>
          <w:szCs w:val="24"/>
        </w:rPr>
        <w:t xml:space="preserve">les représentants de la DUE, du MEF (y compris de la CAP-RSA), </w:t>
      </w:r>
      <w:r>
        <w:rPr>
          <w:sz w:val="24"/>
          <w:szCs w:val="24"/>
        </w:rPr>
        <w:t xml:space="preserve">du MAEC (y compris de l'UAP), </w:t>
      </w:r>
      <w:r w:rsidRPr="00155AEB">
        <w:rPr>
          <w:sz w:val="24"/>
          <w:szCs w:val="24"/>
        </w:rPr>
        <w:t>du Directeur de la DRPE, le Chef de projet et le CRJ ainsi que leurs homologues du côté de l’administration bénéficiaire</w:t>
      </w:r>
      <w:r>
        <w:rPr>
          <w:sz w:val="24"/>
          <w:szCs w:val="24"/>
        </w:rPr>
        <w:t>.</w:t>
      </w:r>
      <w:r w:rsidRPr="00155AEB">
        <w:rPr>
          <w:sz w:val="24"/>
          <w:szCs w:val="24"/>
        </w:rPr>
        <w:t xml:space="preserve"> Cette manifestation s’achèvera par des recommandations pour des actions de suivi et des leçons dont on pourrait tirer profit lors de la mise en œuvre de projets similaires. </w:t>
      </w:r>
    </w:p>
    <w:p w:rsidR="00AC6567" w:rsidRPr="00155AEB" w:rsidRDefault="00AC6567" w:rsidP="00555D1F">
      <w:pPr>
        <w:spacing w:before="120" w:after="120" w:line="240" w:lineRule="auto"/>
        <w:jc w:val="both"/>
        <w:rPr>
          <w:sz w:val="24"/>
          <w:szCs w:val="24"/>
        </w:rPr>
      </w:pPr>
      <w:r w:rsidRPr="00155AEB">
        <w:rPr>
          <w:sz w:val="24"/>
          <w:szCs w:val="24"/>
        </w:rPr>
        <w:t>Nombre indicatif de jours ouvrés d’experts alloués :</w:t>
      </w:r>
    </w:p>
    <w:p w:rsidR="00AC6567" w:rsidRPr="00155AEB" w:rsidRDefault="00AC6567" w:rsidP="00555D1F">
      <w:pPr>
        <w:spacing w:before="120" w:after="120" w:line="240" w:lineRule="auto"/>
        <w:jc w:val="both"/>
        <w:rPr>
          <w:sz w:val="24"/>
          <w:szCs w:val="24"/>
        </w:rPr>
      </w:pPr>
      <w:r w:rsidRPr="00155AEB">
        <w:rPr>
          <w:sz w:val="24"/>
          <w:szCs w:val="24"/>
        </w:rPr>
        <w:t>EM :</w:t>
      </w:r>
      <w:r w:rsidRPr="00155AEB">
        <w:rPr>
          <w:sz w:val="24"/>
          <w:szCs w:val="24"/>
        </w:rPr>
        <w:tab/>
      </w:r>
      <w:r w:rsidRPr="00155AEB">
        <w:rPr>
          <w:sz w:val="24"/>
          <w:szCs w:val="24"/>
        </w:rPr>
        <w:tab/>
      </w:r>
      <w:r w:rsidRPr="00155AEB">
        <w:rPr>
          <w:sz w:val="24"/>
          <w:szCs w:val="24"/>
        </w:rPr>
        <w:tab/>
      </w:r>
      <w:r w:rsidRPr="00155AEB">
        <w:rPr>
          <w:sz w:val="24"/>
          <w:szCs w:val="24"/>
        </w:rPr>
        <w:tab/>
      </w:r>
      <w:r w:rsidRPr="00155AEB">
        <w:rPr>
          <w:sz w:val="24"/>
          <w:szCs w:val="24"/>
        </w:rPr>
        <w:tab/>
      </w:r>
      <w:r w:rsidRPr="00155AEB">
        <w:rPr>
          <w:sz w:val="24"/>
          <w:szCs w:val="24"/>
        </w:rPr>
        <w:tab/>
        <w:t>CRJ, Chef de Projet (CP)</w:t>
      </w:r>
    </w:p>
    <w:p w:rsidR="00AC6567" w:rsidRPr="00155AEB" w:rsidRDefault="00AC6567" w:rsidP="00555D1F">
      <w:pPr>
        <w:spacing w:before="120" w:after="120" w:line="240" w:lineRule="auto"/>
        <w:jc w:val="both"/>
        <w:rPr>
          <w:sz w:val="24"/>
          <w:szCs w:val="24"/>
        </w:rPr>
      </w:pPr>
      <w:r w:rsidRPr="00155AEB">
        <w:rPr>
          <w:sz w:val="24"/>
          <w:szCs w:val="24"/>
        </w:rPr>
        <w:t xml:space="preserve">Expertise Etat Membre (h/j) : </w:t>
      </w:r>
      <w:r w:rsidRPr="00155AEB">
        <w:rPr>
          <w:sz w:val="24"/>
          <w:szCs w:val="24"/>
        </w:rPr>
        <w:tab/>
      </w:r>
      <w:r w:rsidRPr="00155AEB">
        <w:rPr>
          <w:sz w:val="24"/>
          <w:szCs w:val="24"/>
        </w:rPr>
        <w:tab/>
        <w:t>cinq jours ouvrables (CP)</w:t>
      </w:r>
    </w:p>
    <w:p w:rsidR="00AC6567" w:rsidRDefault="00AC6567" w:rsidP="00555D1F">
      <w:pPr>
        <w:spacing w:before="120" w:after="120" w:line="240" w:lineRule="auto"/>
        <w:jc w:val="both"/>
        <w:rPr>
          <w:b/>
          <w:bCs/>
          <w:sz w:val="24"/>
          <w:szCs w:val="24"/>
        </w:rPr>
      </w:pPr>
    </w:p>
    <w:p w:rsidR="00AC6567" w:rsidRPr="00155AEB" w:rsidRDefault="00AC6567" w:rsidP="00555D1F">
      <w:pPr>
        <w:spacing w:before="120" w:after="120" w:line="240" w:lineRule="auto"/>
        <w:jc w:val="both"/>
        <w:rPr>
          <w:b/>
          <w:bCs/>
          <w:sz w:val="24"/>
          <w:szCs w:val="24"/>
        </w:rPr>
      </w:pPr>
      <w:r w:rsidRPr="00155AEB">
        <w:rPr>
          <w:b/>
          <w:bCs/>
          <w:sz w:val="24"/>
          <w:szCs w:val="24"/>
        </w:rPr>
        <w:t>3.4.2. Activités spécifiques</w:t>
      </w:r>
    </w:p>
    <w:p w:rsidR="00AC6567" w:rsidRPr="00155AEB" w:rsidRDefault="00AC6567" w:rsidP="00E30459">
      <w:pPr>
        <w:spacing w:before="120" w:after="120" w:line="240" w:lineRule="auto"/>
        <w:jc w:val="both"/>
        <w:rPr>
          <w:sz w:val="24"/>
          <w:szCs w:val="24"/>
        </w:rPr>
      </w:pPr>
      <w:r w:rsidRPr="00155AEB">
        <w:rPr>
          <w:sz w:val="24"/>
          <w:szCs w:val="24"/>
        </w:rPr>
        <w:t>Les activités mentionnées dans cette fiche de jumelage et le nombre d’hommes/jours alloués sont de nature indicative et pourront être, plus tard, ajustés par accord entre les administrations partenaires.</w:t>
      </w:r>
    </w:p>
    <w:p w:rsidR="00AC6567" w:rsidRPr="00155AEB" w:rsidRDefault="00AC6567" w:rsidP="00483478">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line="240" w:lineRule="auto"/>
        <w:rPr>
          <w:sz w:val="24"/>
          <w:szCs w:val="24"/>
          <w:u w:val="single"/>
        </w:rPr>
      </w:pPr>
      <w:r w:rsidRPr="00155AEB">
        <w:rPr>
          <w:b/>
          <w:bCs/>
          <w:sz w:val="24"/>
          <w:szCs w:val="24"/>
        </w:rPr>
        <w:t>Composante 1 : Analyse de l’écar</w:t>
      </w:r>
      <w:r>
        <w:rPr>
          <w:b/>
          <w:bCs/>
          <w:sz w:val="24"/>
          <w:szCs w:val="24"/>
        </w:rPr>
        <w:t>t juridique et institutionnel</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278"/>
      </w:tblGrid>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lang w:eastAsia="fr-FR"/>
              </w:rPr>
              <w:t xml:space="preserve">Activité 1.1 : </w:t>
            </w:r>
            <w:r w:rsidRPr="00AF0FFA">
              <w:rPr>
                <w:b/>
                <w:bCs/>
                <w:sz w:val="24"/>
                <w:szCs w:val="24"/>
              </w:rPr>
              <w:t>Sensibilisation à la Directive Cadre de l’Eau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Introduction à la méthodologie et à l’approche de la Directive Cadre de l’Eau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10 h/j (20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autres  ministères marocains, Universités, ONG’s, les Agences des bassins hydrauliques</w:t>
            </w:r>
          </w:p>
        </w:tc>
      </w:tr>
      <w:tr w:rsidR="00AC6567" w:rsidRPr="00AF0FFA">
        <w:trPr>
          <w:trHeight w:val="6505"/>
        </w:trPr>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 contenu de la Directive-Cadre sur l’Eau fera l’objet d’une dissémination et d’un approfondissement accrus, par l’organisation d’ateliers de formation. Cela permettra aux partenaires de  se familiariser dès le début  avec les principes clés à introduire dans la mise en œuvre du projet et dans la méthode de travail.</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les ateliers porteront sur les grands principes et sur la méthode de travail de la DCE tel que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 xml:space="preserve">la gestion par bassin versant </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la fixation des objectifs par « masse d’eau » ;</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la planification et la programmation avec une méthode de travail spécifique et des échéances ;</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l'analyse économique des modalités de tarification de l’eau et l'intégration des coûts environnementaux ;</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la consultation du public et l’approche participative, dans le but de renforcer la transparence de la politique de l’eau.</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La méthode de travail: </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 xml:space="preserve">l’état des lieux : il permet d’identifier les problématiques à traiter </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 xml:space="preserve">le plan de gestion </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le programme de mesure : il définit les actions qui vont permettre d’atteindre les objectifs</w:t>
            </w:r>
          </w:p>
          <w:p w:rsidR="00AC6567" w:rsidRPr="00AF0FFA" w:rsidRDefault="00AC6567" w:rsidP="00AF0FFA">
            <w:pPr>
              <w:pStyle w:val="ListParagraph"/>
              <w:numPr>
                <w:ilvl w:val="0"/>
                <w:numId w:val="20"/>
              </w:numPr>
              <w:tabs>
                <w:tab w:val="left" w:pos="567"/>
              </w:tabs>
              <w:autoSpaceDE w:val="0"/>
              <w:autoSpaceDN w:val="0"/>
              <w:adjustRightInd w:val="0"/>
              <w:spacing w:before="120" w:after="120" w:line="240" w:lineRule="auto"/>
              <w:ind w:left="360"/>
              <w:jc w:val="both"/>
              <w:rPr>
                <w:sz w:val="24"/>
                <w:szCs w:val="24"/>
              </w:rPr>
            </w:pPr>
            <w:r w:rsidRPr="00AF0FFA">
              <w:rPr>
                <w:sz w:val="24"/>
                <w:szCs w:val="24"/>
              </w:rPr>
              <w:t>le programme de surveillance : il assure le suivi de l’atteinte des objectifs fixés</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Vingt cadres et dirigeants formés aux thématiques identifiées</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Six sessions de formation réalisées</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Certificats distribués aux participants ayant achevé la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tabs>
                <w:tab w:val="left" w:pos="2460"/>
              </w:tabs>
              <w:autoSpaceDE w:val="0"/>
              <w:autoSpaceDN w:val="0"/>
              <w:adjustRightInd w:val="0"/>
              <w:spacing w:before="120" w:after="120" w:line="240" w:lineRule="auto"/>
              <w:jc w:val="both"/>
              <w:rPr>
                <w:sz w:val="24"/>
                <w:szCs w:val="24"/>
                <w:lang w:eastAsia="fr-FR"/>
              </w:rPr>
            </w:pPr>
            <w:r w:rsidRPr="00AF0FFA">
              <w:rPr>
                <w:sz w:val="24"/>
                <w:szCs w:val="24"/>
                <w:lang w:eastAsia="fr-FR"/>
              </w:rPr>
              <w:t xml:space="preserve">Matériel de formation, Supports pédagogiques </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tc>
      </w:tr>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 xml:space="preserve">Activité 1.2: </w:t>
            </w:r>
            <w:r w:rsidRPr="00AF0FFA">
              <w:rPr>
                <w:b/>
                <w:bCs/>
                <w:sz w:val="24"/>
                <w:szCs w:val="24"/>
                <w:lang w:eastAsia="en-GB"/>
              </w:rPr>
              <w:t>Analyse de la législation marocaine et de la Directive Cadre de l’Eau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Analyse de la Loi n° 10-95 sur l’eau et d’autres sources de législation ayant le même champ d’application de l’Acquis de l'Union européenne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10 h/j (vingt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autres  ministères marocains, universités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La directive du 23 octobre 2000 adoptée par le Conseil et par le Parlement européen définit un cadre pour la gestion et la protection des eaux par grand bassin hydrographique au plan européen. Cette directive joue un rôle stratégique et fondateur en matière de politique de l’eau. Elle fixe en effet des objectifs ambitieux pour la préservation et la restauration de l’état des eaux superficielles (eaux douces et eaux côtières) et pour les eaux souterraines. Les directives plus spécifiques, comme celles relatives à la potabilité des eaux distribuées, aux eaux de baignade, aux eaux résiduaires urbaines et aux nitrates d’origine agricole restent en vigueur.</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L'activité portera sur une étude concernant l’écart juridique existant entre la DCE/les directives « filles » de la DCE, la loi 10-95 et toute autre source législative et réglementaire liée au domaine de l’eau. Elle prendra en compte les résultats de l'étude d'écart </w:t>
            </w:r>
            <w:r w:rsidRPr="00AF0FFA">
              <w:rPr>
                <w:color w:val="000000"/>
                <w:sz w:val="24"/>
                <w:szCs w:val="24"/>
              </w:rPr>
              <w:t xml:space="preserve">existant entre le cadre juridique et institutionnel marocain et la Directive cadre de l’Eau, ciblant notamment le projet modificatif de la </w:t>
            </w:r>
            <w:r w:rsidRPr="00AF0FFA">
              <w:rPr>
                <w:sz w:val="24"/>
                <w:szCs w:val="24"/>
              </w:rPr>
              <w:t>Loi n° 10-95, déjà financée dans le cadre du programme RSA.</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 ; six 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de mission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l’écart juridique</w:t>
            </w:r>
          </w:p>
        </w:tc>
      </w:tr>
    </w:tbl>
    <w:p w:rsidR="00AC6567" w:rsidRDefault="00AC6567"/>
    <w:p w:rsidR="00AC6567" w:rsidRDefault="00AC6567">
      <w: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7"/>
        <w:gridCol w:w="7271"/>
      </w:tblGrid>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lang w:eastAsia="fr-FR"/>
              </w:rPr>
              <w:t>Activité 1.3</w:t>
            </w:r>
            <w:r w:rsidRPr="00AF0FFA">
              <w:rPr>
                <w:sz w:val="24"/>
                <w:szCs w:val="24"/>
              </w:rPr>
              <w:t xml:space="preserve"> </w:t>
            </w:r>
            <w:r w:rsidRPr="00AF0FFA">
              <w:rPr>
                <w:b/>
                <w:bCs/>
                <w:sz w:val="24"/>
                <w:szCs w:val="24"/>
                <w:lang w:eastAsia="fr-FR"/>
              </w:rPr>
              <w:t>Analyse de l’écart institutionnel entre le Maroc et l’UE</w:t>
            </w:r>
          </w:p>
        </w:tc>
      </w:tr>
      <w:tr w:rsidR="00AC6567" w:rsidRPr="00AF0FFA">
        <w:tc>
          <w:tcPr>
            <w:tcW w:w="191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73"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Analyse de l’écart institutionnel entre le Maroc et l’UE</w:t>
            </w:r>
          </w:p>
        </w:tc>
      </w:tr>
      <w:tr w:rsidR="00AC6567" w:rsidRPr="00AF0FFA">
        <w:tc>
          <w:tcPr>
            <w:tcW w:w="191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73"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3</w:t>
            </w:r>
          </w:p>
        </w:tc>
      </w:tr>
      <w:tr w:rsidR="00AC6567" w:rsidRPr="00AF0FFA">
        <w:tc>
          <w:tcPr>
            <w:tcW w:w="1913"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sz w:val="24"/>
                <w:szCs w:val="24"/>
                <w:lang w:eastAsia="fr-FR"/>
              </w:rPr>
              <w:t>Moyens (</w:t>
            </w:r>
            <w:r w:rsidRPr="00AF0FFA">
              <w:rPr>
                <w:i/>
                <w:iCs/>
                <w:sz w:val="24"/>
                <w:szCs w:val="24"/>
              </w:rPr>
              <w:t>nombre indicatif de jours ouvrés d’experts alloués) :</w:t>
            </w:r>
          </w:p>
        </w:tc>
        <w:tc>
          <w:tcPr>
            <w:tcW w:w="7373"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10 h/j (vingt jours au total)</w:t>
            </w:r>
          </w:p>
        </w:tc>
      </w:tr>
      <w:tr w:rsidR="00AC6567" w:rsidRPr="00AF0FFA">
        <w:tc>
          <w:tcPr>
            <w:tcW w:w="1913"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Cible :</w:t>
            </w:r>
          </w:p>
        </w:tc>
        <w:tc>
          <w:tcPr>
            <w:tcW w:w="7373"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autres ministères marocains, universités</w:t>
            </w:r>
          </w:p>
        </w:tc>
      </w:tr>
      <w:tr w:rsidR="00AC6567" w:rsidRPr="00AF0FFA">
        <w:tc>
          <w:tcPr>
            <w:tcW w:w="1913"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Méthodologie :</w:t>
            </w:r>
          </w:p>
        </w:tc>
        <w:tc>
          <w:tcPr>
            <w:tcW w:w="7373"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L'analyse sera exécutée par SWOT/AFOM (Atouts – Faiblesses – Opportunités – Menaces) qui est un outil d'analyse stratégique. Il combine l'étude des forces et des faiblesses d'une organisation, d’un territoire, d’un secteur, etc. avec celle des opportunités et des menaces de son environnement, afin d'aider à la définition d'une stratégie de développement dans le domaine de la gestion de l’eau, ciblant notamment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L’autorité compétente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La gestion par bassin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La planification et la programmation,</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La tarification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Le principe de pollueur -  payeur ;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La surveillance ;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Les instruments économiques et fiscaux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La consultation et l’information du public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L’analyse économique ;</w:t>
            </w:r>
          </w:p>
          <w:p w:rsidR="00AC6567" w:rsidRPr="00AF0FFA" w:rsidRDefault="00AC6567" w:rsidP="00AF0FFA">
            <w:pPr>
              <w:numPr>
                <w:ilvl w:val="0"/>
                <w:numId w:val="21"/>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Le contrôle de la législation ;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5"/>
              <w:gridCol w:w="1875"/>
              <w:gridCol w:w="1876"/>
            </w:tblGrid>
            <w:tr w:rsidR="00AC6567" w:rsidRPr="00AF0FFA">
              <w:tc>
                <w:tcPr>
                  <w:tcW w:w="1875" w:type="dxa"/>
                  <w:tcBorders>
                    <w:top w:val="single" w:sz="4" w:space="0" w:color="auto"/>
                    <w:left w:val="single" w:sz="4" w:space="0" w:color="auto"/>
                    <w:bottom w:val="single" w:sz="4" w:space="0" w:color="auto"/>
                    <w:right w:val="single" w:sz="4" w:space="0" w:color="auto"/>
                  </w:tcBorders>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tc>
              <w:tc>
                <w:tcPr>
                  <w:tcW w:w="1875" w:type="dxa"/>
                  <w:tcBorders>
                    <w:top w:val="single" w:sz="4" w:space="0" w:color="auto"/>
                    <w:left w:val="single" w:sz="4" w:space="0" w:color="auto"/>
                    <w:bottom w:val="single" w:sz="4" w:space="0" w:color="auto"/>
                    <w:right w:val="single" w:sz="4" w:space="0" w:color="auto"/>
                  </w:tcBorders>
                  <w:shd w:val="clear" w:color="auto" w:fill="17365D"/>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Positif</w:t>
                  </w:r>
                </w:p>
              </w:tc>
              <w:tc>
                <w:tcPr>
                  <w:tcW w:w="1876" w:type="dxa"/>
                  <w:tcBorders>
                    <w:top w:val="single" w:sz="4" w:space="0" w:color="auto"/>
                    <w:left w:val="single" w:sz="4" w:space="0" w:color="auto"/>
                    <w:bottom w:val="single" w:sz="4" w:space="0" w:color="auto"/>
                    <w:right w:val="single" w:sz="4" w:space="0" w:color="auto"/>
                  </w:tcBorders>
                  <w:shd w:val="clear" w:color="auto" w:fill="17365D"/>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Négatif</w:t>
                  </w:r>
                </w:p>
              </w:tc>
            </w:tr>
            <w:tr w:rsidR="00AC6567" w:rsidRPr="00AF0FFA">
              <w:tc>
                <w:tcPr>
                  <w:tcW w:w="1875" w:type="dxa"/>
                  <w:tcBorders>
                    <w:top w:val="single" w:sz="4" w:space="0" w:color="auto"/>
                    <w:left w:val="single" w:sz="4" w:space="0" w:color="auto"/>
                    <w:bottom w:val="single" w:sz="4" w:space="0" w:color="auto"/>
                    <w:right w:val="single" w:sz="4" w:space="0" w:color="auto"/>
                  </w:tcBorders>
                  <w:shd w:val="clear" w:color="auto" w:fill="17365D"/>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Interne</w:t>
                  </w:r>
                </w:p>
              </w:tc>
              <w:tc>
                <w:tcPr>
                  <w:tcW w:w="1875" w:type="dxa"/>
                  <w:tcBorders>
                    <w:top w:val="single" w:sz="4" w:space="0" w:color="auto"/>
                    <w:left w:val="single" w:sz="4" w:space="0" w:color="auto"/>
                    <w:bottom w:val="single" w:sz="4" w:space="0" w:color="auto"/>
                    <w:right w:val="single" w:sz="4" w:space="0" w:color="auto"/>
                  </w:tcBorders>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Forces</w:t>
                  </w:r>
                </w:p>
              </w:tc>
              <w:tc>
                <w:tcPr>
                  <w:tcW w:w="1876" w:type="dxa"/>
                  <w:tcBorders>
                    <w:top w:val="single" w:sz="4" w:space="0" w:color="auto"/>
                    <w:left w:val="single" w:sz="4" w:space="0" w:color="auto"/>
                    <w:bottom w:val="single" w:sz="4" w:space="0" w:color="auto"/>
                    <w:right w:val="single" w:sz="4" w:space="0" w:color="auto"/>
                  </w:tcBorders>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Faiblesse</w:t>
                  </w:r>
                </w:p>
              </w:tc>
            </w:tr>
            <w:tr w:rsidR="00AC6567" w:rsidRPr="00AF0FFA">
              <w:tc>
                <w:tcPr>
                  <w:tcW w:w="1875" w:type="dxa"/>
                  <w:tcBorders>
                    <w:top w:val="single" w:sz="4" w:space="0" w:color="auto"/>
                    <w:left w:val="single" w:sz="4" w:space="0" w:color="auto"/>
                    <w:bottom w:val="single" w:sz="4" w:space="0" w:color="auto"/>
                    <w:right w:val="single" w:sz="4" w:space="0" w:color="auto"/>
                  </w:tcBorders>
                  <w:shd w:val="clear" w:color="auto" w:fill="17365D"/>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Externe</w:t>
                  </w:r>
                </w:p>
              </w:tc>
              <w:tc>
                <w:tcPr>
                  <w:tcW w:w="1875" w:type="dxa"/>
                  <w:tcBorders>
                    <w:top w:val="single" w:sz="4" w:space="0" w:color="auto"/>
                    <w:left w:val="single" w:sz="4" w:space="0" w:color="auto"/>
                    <w:bottom w:val="single" w:sz="4" w:space="0" w:color="auto"/>
                    <w:right w:val="single" w:sz="4" w:space="0" w:color="auto"/>
                  </w:tcBorders>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Opportunités</w:t>
                  </w:r>
                </w:p>
              </w:tc>
              <w:tc>
                <w:tcPr>
                  <w:tcW w:w="1876" w:type="dxa"/>
                  <w:tcBorders>
                    <w:top w:val="single" w:sz="4" w:space="0" w:color="auto"/>
                    <w:left w:val="single" w:sz="4" w:space="0" w:color="auto"/>
                    <w:bottom w:val="single" w:sz="4" w:space="0" w:color="auto"/>
                    <w:right w:val="single" w:sz="4" w:space="0" w:color="auto"/>
                  </w:tcBorders>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Menaces</w:t>
                  </w:r>
                </w:p>
              </w:tc>
            </w:tr>
          </w:tbl>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Pour la réalisation de cette activité seront pris en compte les résultats de l'étude d'écart </w:t>
            </w:r>
            <w:r w:rsidRPr="00AF0FFA">
              <w:rPr>
                <w:color w:val="000000"/>
                <w:sz w:val="24"/>
                <w:szCs w:val="24"/>
              </w:rPr>
              <w:t xml:space="preserve">existant entre le cadre juridique et institutionnel marocain et la Directive cadre de l’Eau, ciblant notamment le projet modificatif de la </w:t>
            </w:r>
            <w:r w:rsidRPr="00AF0FFA">
              <w:rPr>
                <w:sz w:val="24"/>
                <w:szCs w:val="24"/>
              </w:rPr>
              <w:t>Loi n° 10-95, déjà financée dans le cadre du programme RSA.</w:t>
            </w:r>
          </w:p>
        </w:tc>
      </w:tr>
      <w:tr w:rsidR="00AC6567" w:rsidRPr="00AF0FFA">
        <w:tc>
          <w:tcPr>
            <w:tcW w:w="191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73"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Vingt cadres et dirigeants formés aux thématiques identifiées</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Six sessions de formation</w:t>
            </w:r>
          </w:p>
        </w:tc>
      </w:tr>
      <w:tr w:rsidR="00AC6567" w:rsidRPr="00AF0FFA">
        <w:tc>
          <w:tcPr>
            <w:tcW w:w="191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73"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Un rapport sur l’analyse de l’écart institutionnel</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Analyse SWOT</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tc>
      </w:tr>
      <w:tr w:rsidR="00AC6567" w:rsidRPr="00AF0FFA">
        <w:tc>
          <w:tcPr>
            <w:tcW w:w="5000"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 xml:space="preserve">Activité 1.4 : </w:t>
            </w:r>
            <w:r w:rsidRPr="00AF0FFA">
              <w:rPr>
                <w:b/>
                <w:bCs/>
                <w:sz w:val="24"/>
                <w:szCs w:val="24"/>
                <w:lang w:eastAsia="en-GB"/>
              </w:rPr>
              <w:t xml:space="preserve">Réalisation d’une visite d’étude sur la mise en œuvre de la </w:t>
            </w:r>
            <w:r w:rsidRPr="00AF0FFA">
              <w:rPr>
                <w:b/>
                <w:bCs/>
                <w:color w:val="000000"/>
                <w:sz w:val="24"/>
                <w:szCs w:val="24"/>
                <w:lang w:eastAsia="en-GB"/>
              </w:rPr>
              <w:t>Directive Cadre de l’Eau</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rPr>
              <w:t>Se familiariser avec les expériences d'Etats membres de l’UE, qui ont des conditions écologiques et climatiques comparables/compatibles à celles du Maroc</w:t>
            </w:r>
            <w:r w:rsidRPr="00AF0FFA">
              <w:rPr>
                <w:sz w:val="24"/>
                <w:szCs w:val="24"/>
                <w:lang w:eastAsia="fr-FR"/>
              </w:rPr>
              <w:t xml:space="preserve"> </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3</w:t>
            </w:r>
          </w:p>
        </w:tc>
      </w:tr>
      <w:tr w:rsidR="00AC6567" w:rsidRPr="00AF0FFA">
        <w:tc>
          <w:tcPr>
            <w:tcW w:w="1039" w:type="pct"/>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61"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 xml:space="preserve">Dix participants, sélectionnés par le bénéficiaire </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61" w:type="pct"/>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lang w:eastAsia="fr-FR"/>
              </w:rPr>
              <w:t xml:space="preserve">La visite d’étude, de cinq jours ouvrables a pour </w:t>
            </w:r>
            <w:r w:rsidRPr="00AF0FFA">
              <w:rPr>
                <w:sz w:val="24"/>
                <w:szCs w:val="24"/>
              </w:rPr>
              <w:t xml:space="preserve"> but de de bénéficier des expériences de nouveaux états membres de l’UE, qui ont des conditions écologiques et climatiques compatibles avec celles du Maroc. Ces Etats membres viennent d’adapter la gestion de leurs bassins hydrauliques aux exigences de l’UE.</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Dix cadres et dirigeants formés.</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la visite d’étude, élaboré par le bénéficiaire</w:t>
            </w:r>
          </w:p>
        </w:tc>
      </w:tr>
    </w:tbl>
    <w:p w:rsidR="00AC6567" w:rsidRPr="00155AEB" w:rsidRDefault="00AC6567" w:rsidP="00483478">
      <w:pPr>
        <w:autoSpaceDE w:val="0"/>
        <w:autoSpaceDN w:val="0"/>
        <w:adjustRightInd w:val="0"/>
        <w:spacing w:before="120" w:after="120" w:line="240" w:lineRule="auto"/>
        <w:rPr>
          <w:sz w:val="24"/>
          <w:szCs w:val="24"/>
          <w:u w:val="single"/>
        </w:rPr>
      </w:pPr>
    </w:p>
    <w:p w:rsidR="00AC6567" w:rsidRDefault="00AC6567">
      <w:pPr>
        <w:rPr>
          <w:sz w:val="24"/>
          <w:szCs w:val="24"/>
          <w:u w:val="single"/>
        </w:rPr>
      </w:pPr>
      <w:r>
        <w:rPr>
          <w:sz w:val="24"/>
          <w:szCs w:val="24"/>
          <w:u w:val="single"/>
        </w:rPr>
        <w:br w:type="page"/>
      </w:r>
    </w:p>
    <w:p w:rsidR="00AC6567" w:rsidRPr="00155AEB" w:rsidRDefault="00AC6567" w:rsidP="00483478">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line="240" w:lineRule="auto"/>
        <w:rPr>
          <w:b/>
          <w:bCs/>
          <w:sz w:val="24"/>
          <w:szCs w:val="24"/>
        </w:rPr>
      </w:pPr>
      <w:r w:rsidRPr="00155AEB">
        <w:rPr>
          <w:b/>
          <w:bCs/>
          <w:sz w:val="24"/>
          <w:szCs w:val="24"/>
        </w:rPr>
        <w:t xml:space="preserve">Composante 2 : </w:t>
      </w:r>
      <w:r>
        <w:rPr>
          <w:b/>
          <w:bCs/>
          <w:sz w:val="24"/>
          <w:szCs w:val="24"/>
        </w:rPr>
        <w:t>Projet de</w:t>
      </w:r>
      <w:r w:rsidRPr="00155AEB">
        <w:rPr>
          <w:b/>
          <w:bCs/>
          <w:sz w:val="24"/>
          <w:szCs w:val="24"/>
        </w:rPr>
        <w:t xml:space="preserve"> plan de gestion pour le bassin hydraulique de Sebou</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44"/>
        <w:gridCol w:w="7342"/>
      </w:tblGrid>
      <w:tr w:rsidR="00AC6567" w:rsidRPr="00AF0FFA">
        <w:tc>
          <w:tcPr>
            <w:tcW w:w="5000"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2.1</w:t>
            </w:r>
            <w:r w:rsidRPr="00AF0FFA">
              <w:rPr>
                <w:sz w:val="24"/>
                <w:szCs w:val="24"/>
              </w:rPr>
              <w:t xml:space="preserve"> </w:t>
            </w:r>
            <w:r w:rsidRPr="00AF0FFA">
              <w:rPr>
                <w:b/>
                <w:bCs/>
                <w:sz w:val="24"/>
                <w:szCs w:val="24"/>
              </w:rPr>
              <w:t>Identification d'un bassin hydraulique</w:t>
            </w:r>
            <w:r w:rsidRPr="00AF0FFA">
              <w:rPr>
                <w:rStyle w:val="FootnoteReference"/>
                <w:b/>
                <w:bCs/>
                <w:sz w:val="24"/>
                <w:szCs w:val="24"/>
              </w:rPr>
              <w:footnoteReference w:id="2"/>
            </w:r>
            <w:r w:rsidRPr="00AF0FFA">
              <w:rPr>
                <w:b/>
                <w:bCs/>
                <w:sz w:val="24"/>
                <w:szCs w:val="24"/>
              </w:rPr>
              <w:t xml:space="preserve"> et d'une autorité compétente</w:t>
            </w:r>
          </w:p>
        </w:tc>
      </w:tr>
      <w:tr w:rsidR="00AC6567" w:rsidRPr="00AF0FFA">
        <w:tc>
          <w:tcPr>
            <w:tcW w:w="1047"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Identifier un sous-bassin hydraulique et  son autorité compétente concerné par le plan de gestion</w:t>
            </w:r>
          </w:p>
        </w:tc>
      </w:tr>
      <w:tr w:rsidR="00AC6567" w:rsidRPr="00AF0FFA">
        <w:tc>
          <w:tcPr>
            <w:tcW w:w="1047"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3</w:t>
            </w:r>
          </w:p>
        </w:tc>
      </w:tr>
      <w:tr w:rsidR="00AC6567" w:rsidRPr="00AF0FFA">
        <w:tc>
          <w:tcPr>
            <w:tcW w:w="1047" w:type="pct"/>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53"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 xml:space="preserve">1 expert CT x 1mission x 5 h/j (10 jours au total) </w:t>
            </w:r>
          </w:p>
        </w:tc>
      </w:tr>
      <w:tr w:rsidR="00AC6567" w:rsidRPr="00AF0FFA">
        <w:tc>
          <w:tcPr>
            <w:tcW w:w="1047"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47"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53" w:type="pct"/>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Un bassin hydraulique est une aire délimitée par des lignes de partage des eaux, à l'intérieur de laquelle toutes les eaux tombées alimentent un même exutoire: cours d'eau, lac, mer, océan, etc. Une ligne de partage des eaux se confond très souvent avec une ligne de crête. Le bassin hydraulique doit être défini et montré par carte SIG.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De plus, l’autorité compétente doit être identifiée et une liste de ses tâches et responsabilités doit être élaborée.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La méthodologie utilisée par l'Etat membre attributaire de la mise en œuvre du projet pour l'identification de bassins et d'autorité compétente sera présentée aux destinataires de l'action et sera confronté avec la méthodologie utilisée au Maroc. Sur la base de cette confrontation seront établies les modalités méthodologiques d'identification à appliquer au bassin de Sebou. Sur la base de cette méthodologie seront identifiés un sous-bassin et une autorité compétente.</w:t>
            </w:r>
          </w:p>
        </w:tc>
      </w:tr>
      <w:tr w:rsidR="00AC6567" w:rsidRPr="00AF0FFA">
        <w:tc>
          <w:tcPr>
            <w:tcW w:w="1047"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Approbation au niveau technique d'un projet d'identification du sous-bassin et d'autorité compétente </w:t>
            </w:r>
          </w:p>
        </w:tc>
      </w:tr>
      <w:tr w:rsidR="00AC6567" w:rsidRPr="00AF0FFA">
        <w:tc>
          <w:tcPr>
            <w:tcW w:w="1047"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Projet d'identification de bassin et d'autorité compétente Liste des responsabilités de l’autorité compétente</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tc>
      </w:tr>
    </w:tbl>
    <w:p w:rsidR="00AC6567" w:rsidRDefault="00AC6567" w:rsidP="00483478">
      <w:pPr>
        <w:autoSpaceDE w:val="0"/>
        <w:autoSpaceDN w:val="0"/>
        <w:adjustRightInd w:val="0"/>
        <w:spacing w:before="120" w:after="120" w:line="240" w:lineRule="auto"/>
        <w:rPr>
          <w:sz w:val="24"/>
          <w:szCs w:val="24"/>
          <w:u w:val="single"/>
        </w:rPr>
      </w:pPr>
    </w:p>
    <w:p w:rsidR="00AC6567" w:rsidRDefault="00AC6567">
      <w:pPr>
        <w:rPr>
          <w:sz w:val="24"/>
          <w:szCs w:val="24"/>
          <w:u w:val="single"/>
        </w:rPr>
      </w:pPr>
      <w:r>
        <w:rPr>
          <w:sz w:val="24"/>
          <w:szCs w:val="24"/>
          <w:u w:val="single"/>
        </w:rPr>
        <w:br w:type="page"/>
      </w:r>
    </w:p>
    <w:p w:rsidR="00AC6567" w:rsidRPr="00155AEB" w:rsidRDefault="00AC6567" w:rsidP="00483478">
      <w:pPr>
        <w:autoSpaceDE w:val="0"/>
        <w:autoSpaceDN w:val="0"/>
        <w:adjustRightInd w:val="0"/>
        <w:spacing w:before="120" w:after="120" w:line="240" w:lineRule="auto"/>
        <w:rPr>
          <w:sz w:val="24"/>
          <w:szCs w:val="24"/>
          <w:u w:val="singl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29"/>
        <w:gridCol w:w="7249"/>
      </w:tblGrid>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2.2.</w:t>
            </w:r>
            <w:r w:rsidRPr="00AF0FFA">
              <w:rPr>
                <w:sz w:val="24"/>
                <w:szCs w:val="24"/>
              </w:rPr>
              <w:t xml:space="preserve"> </w:t>
            </w:r>
            <w:r w:rsidRPr="00AF0FFA">
              <w:rPr>
                <w:b/>
                <w:bCs/>
                <w:sz w:val="24"/>
                <w:szCs w:val="24"/>
              </w:rPr>
              <w:t>développement d’un système pour la gestion et l’analyse des informations pour le projet du plan de gestion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Mise en place d’un système de suivi du plan de gestion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3</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Le Ministère délégué chargé de l’Eau, Agences des bassins hydrauliques </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Il sera nécessaire de recueillir les informations essentielles dans le domaine chimique, hydro-morphologique, biologique de toutes les masses d’eau. De plus, il faudra définir la typologie des masses d’eau, la tarification, le programme de mesures etc.</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Dans le cadre de cette activité, un système sera développé pour gérer et analyser ces informations nécessaires au développement du projet de plan de gestion pour le bassin pilote. Ce système sera issu d'un échange d'expérience avec les experts de l'Etat membre attributaire de la mise en œuvre du projet.</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Approbation, au niveau technique d'une carte SIG du sous-bassin </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Carte SIG du bassin </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Tableaux complétés assurant le suivi du plan de gestion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Liste des responsabilités de l’autorité compétente</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tc>
      </w:tr>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2.3: Identification des masses d’eau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Identifier les unités d’évaluation de la qualité des eaux (masses d’eau)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4</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10 h/j (20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Les masses d’eau constituent le référentiel cartographique élémentaire de la directive cadre sur l’eau. Ces masses d'eau servent d'unité d’évaluation de la qualité des eaux. L’état (écologique, chimique, ou quantitatif) doit être évalué pour chacune des masses d’eau.</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Il existe 5 catégories de masses d’eau : masses d’eau de cours d’eau ; de plans d’eau ; de transition (les estuaires); côtières pour les eaux marines le long du littoral et souterraines. De plus, il y a les masses d’eau naturelles, artificielles et fortement modifiées</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Dans le cadre de cette activité, les masses d’eau du bassin pilote seront définies sur la base, notamment, d'un échange d'expérience avec les experts de l'Etat membre attributaire de la mise en œuvre du projet.</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Huit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Approbation technique d'un rapport d'identification des masses d'eau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Cartes SIG avec les masses d’eau identifiées</w:t>
            </w:r>
          </w:p>
        </w:tc>
      </w:tr>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2.4: Elaboration d’une analyse économique du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Introduire une approche économique dans le plan de gestion du bassin de Sebou.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5</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10 h/j (20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L’activité sera exécutée par des formations, des ateliers de formation et des séminaires. En effet, une analyse économique des utilisations de l’eau, caractérisant le poids économique des activités liées à l’eau et les modalités de financement des politiques de l’eau, sera effectuée sur la base, notamment, d'un échange d'expérience avec les experts de l'Etat membre attributaire de la mise en œuvre du projet et sur la base d’informations qui sont déjà disponibles.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 dans le cadre de 6 sessions de formation, justifiées par des fiches de présence</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Six 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Une analyse économique</w:t>
            </w:r>
          </w:p>
        </w:tc>
      </w:tr>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2.5: Analyse des pressions des masses d’eau dans le bassin</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Introduction de l’approche environnementale dans le plan de gestion</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6</w:t>
            </w:r>
          </w:p>
        </w:tc>
      </w:tr>
      <w:tr w:rsidR="00AC6567" w:rsidRPr="00AF0FFA">
        <w:tc>
          <w:tcPr>
            <w:tcW w:w="1930" w:type="dxa"/>
            <w:gridSpan w:val="2"/>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5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3 experts CT x 1mission x 10 h/j (30 jours au total)</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56" w:type="dxa"/>
          </w:tcPr>
          <w:p w:rsidR="00AC6567" w:rsidRPr="00AF0FFA" w:rsidRDefault="00AC6567" w:rsidP="00AF0FFA">
            <w:pPr>
              <w:pStyle w:val="ListParagraph"/>
              <w:numPr>
                <w:ilvl w:val="0"/>
                <w:numId w:val="22"/>
              </w:numPr>
              <w:tabs>
                <w:tab w:val="left" w:pos="567"/>
              </w:tabs>
              <w:autoSpaceDE w:val="0"/>
              <w:autoSpaceDN w:val="0"/>
              <w:adjustRightInd w:val="0"/>
              <w:spacing w:before="120" w:after="120" w:line="240" w:lineRule="auto"/>
              <w:jc w:val="both"/>
              <w:rPr>
                <w:sz w:val="24"/>
                <w:szCs w:val="24"/>
              </w:rPr>
            </w:pPr>
            <w:r w:rsidRPr="00AF0FFA">
              <w:rPr>
                <w:sz w:val="24"/>
                <w:szCs w:val="24"/>
              </w:rPr>
              <w:t>Organisation d’ateliers de présentation des techniques utilisées par l'Etat membre attributaire de la mise en œuvre du projet quant à l'analyse:</w:t>
            </w:r>
          </w:p>
          <w:p w:rsidR="00AC6567" w:rsidRPr="00AF0FFA" w:rsidRDefault="00AC6567" w:rsidP="00AF0FFA">
            <w:pPr>
              <w:pStyle w:val="ListParagraph"/>
              <w:numPr>
                <w:ilvl w:val="0"/>
                <w:numId w:val="22"/>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des pressions de chaque masse d’eau: forces motrices, pressions, impact et état. </w:t>
            </w:r>
          </w:p>
          <w:p w:rsidR="00AC6567" w:rsidRPr="00AF0FFA" w:rsidRDefault="00AC6567" w:rsidP="00AF0FFA">
            <w:pPr>
              <w:pStyle w:val="ListParagraph"/>
              <w:numPr>
                <w:ilvl w:val="0"/>
                <w:numId w:val="22"/>
              </w:numPr>
              <w:tabs>
                <w:tab w:val="left" w:pos="567"/>
              </w:tabs>
              <w:autoSpaceDE w:val="0"/>
              <w:autoSpaceDN w:val="0"/>
              <w:adjustRightInd w:val="0"/>
              <w:spacing w:before="120" w:after="120" w:line="240" w:lineRule="auto"/>
              <w:jc w:val="both"/>
              <w:rPr>
                <w:sz w:val="24"/>
                <w:szCs w:val="24"/>
              </w:rPr>
            </w:pPr>
            <w:r w:rsidRPr="00AF0FFA">
              <w:rPr>
                <w:sz w:val="24"/>
                <w:szCs w:val="24"/>
              </w:rPr>
              <w:t>des forces motrices, pressions, impact et état pour chaque masse d’eau dans le bassin.</w:t>
            </w:r>
          </w:p>
          <w:p w:rsidR="00AC6567" w:rsidRPr="00AF0FFA" w:rsidRDefault="00AC6567" w:rsidP="00AF0FFA">
            <w:pPr>
              <w:pStyle w:val="ListParagraph"/>
              <w:numPr>
                <w:ilvl w:val="0"/>
                <w:numId w:val="22"/>
              </w:numPr>
              <w:tabs>
                <w:tab w:val="left" w:pos="567"/>
              </w:tabs>
              <w:autoSpaceDE w:val="0"/>
              <w:autoSpaceDN w:val="0"/>
              <w:adjustRightInd w:val="0"/>
              <w:spacing w:before="120" w:after="120" w:line="240" w:lineRule="auto"/>
              <w:jc w:val="both"/>
              <w:rPr>
                <w:sz w:val="24"/>
                <w:szCs w:val="24"/>
              </w:rPr>
            </w:pPr>
            <w:r w:rsidRPr="00AF0FFA">
              <w:rPr>
                <w:sz w:val="24"/>
                <w:szCs w:val="24"/>
              </w:rPr>
              <w:t>des pressions hydro-morphologiques, pressions ponctuelles et diffuses (y compris les barrages, la sécheresse,  le dessalement de l’eau de mer et la décharge minimale dans le bassin)</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Les ateliers devront faciliter l’échange d'expérience avec les experts de l'Etat membre attributaire de la mise en œuvre du projet</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Analyses approuvés au niveau technique</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Analyses des pressions de chaque masse d’eau</w:t>
            </w:r>
          </w:p>
        </w:tc>
      </w:tr>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2.6: Développement d’une typologie pour le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Identification des catégories des masses d’eau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7</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4 experts CT x 1mission x 10 h/j (40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L'activité sera introduite par un atelier d'échange d'expériences dans le domaine du développement de typologie des masses d'eau pour les bassins.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Par la suite, un système de typologie des masses d’eau devra etre défini. Il devrait regrouper des milieux aquatiques homogènes du point de vue de certaines caractéristiques naturelles (relief, géologie, climat, débit…) qui ont une influence structurante sur la répartition géographique des organismes biologiques.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Six 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Un système de typologie des masses d’eau pour le bassin est adopté</w:t>
            </w:r>
          </w:p>
        </w:tc>
      </w:tr>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2.7: Réalisation d’un registre des zones protégées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Réaliser un registre des zones protégées. Les zones protégées devront faire l’objet d’identification et inventoriées dans un registre ad hoc</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8</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L'activité sera introduite par un atelier d'échange d'expériences dans le domaine, mettant l’accent sur l’expérience des EM qui ont mis en place un registre des zones protégées incluant notamment :</w:t>
            </w:r>
          </w:p>
          <w:p w:rsidR="00AC6567" w:rsidRPr="00AF0FFA" w:rsidRDefault="00AC6567" w:rsidP="00AF0FFA">
            <w:pPr>
              <w:pStyle w:val="ListParagraph"/>
              <w:numPr>
                <w:ilvl w:val="0"/>
                <w:numId w:val="23"/>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les zones désignées pour le captage d'eau destinée à la consommation humaine </w:t>
            </w:r>
          </w:p>
          <w:p w:rsidR="00AC6567" w:rsidRPr="00AF0FFA" w:rsidRDefault="00AC6567" w:rsidP="00AF0FFA">
            <w:pPr>
              <w:pStyle w:val="ListParagraph"/>
              <w:numPr>
                <w:ilvl w:val="0"/>
                <w:numId w:val="23"/>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les zones désignées pour la protection des espèces aquatiques </w:t>
            </w:r>
          </w:p>
          <w:p w:rsidR="00AC6567" w:rsidRPr="00AF0FFA" w:rsidRDefault="00AC6567" w:rsidP="00AF0FFA">
            <w:pPr>
              <w:pStyle w:val="ListParagraph"/>
              <w:numPr>
                <w:ilvl w:val="0"/>
                <w:numId w:val="23"/>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les masses d'eau désignées en tant qu'eaux de plaisance et de baignade </w:t>
            </w:r>
          </w:p>
          <w:p w:rsidR="00AC6567" w:rsidRPr="00AF0FFA" w:rsidRDefault="00AC6567" w:rsidP="00AF0FFA">
            <w:pPr>
              <w:pStyle w:val="ListParagraph"/>
              <w:numPr>
                <w:ilvl w:val="0"/>
                <w:numId w:val="23"/>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les zones sensibles du point de vue des nutriments, </w:t>
            </w:r>
          </w:p>
          <w:p w:rsidR="00AC6567" w:rsidRPr="00AF0FFA" w:rsidRDefault="00AC6567" w:rsidP="00AF0FFA">
            <w:pPr>
              <w:pStyle w:val="ListParagraph"/>
              <w:numPr>
                <w:ilvl w:val="0"/>
                <w:numId w:val="23"/>
              </w:numPr>
              <w:tabs>
                <w:tab w:val="left" w:pos="567"/>
              </w:tabs>
              <w:autoSpaceDE w:val="0"/>
              <w:autoSpaceDN w:val="0"/>
              <w:adjustRightInd w:val="0"/>
              <w:spacing w:before="120" w:after="120" w:line="240" w:lineRule="auto"/>
              <w:jc w:val="both"/>
              <w:rPr>
                <w:sz w:val="24"/>
                <w:szCs w:val="24"/>
              </w:rPr>
            </w:pPr>
            <w:r w:rsidRPr="00AF0FFA">
              <w:rPr>
                <w:sz w:val="24"/>
                <w:szCs w:val="24"/>
              </w:rPr>
              <w:t>les zones désignées comme zone de protection des habitats et des espèces</w:t>
            </w:r>
          </w:p>
          <w:p w:rsidR="00AC6567" w:rsidRPr="00AF0FFA" w:rsidRDefault="00AC6567" w:rsidP="00AF0FFA">
            <w:pPr>
              <w:pStyle w:val="ListParagraph"/>
              <w:tabs>
                <w:tab w:val="left" w:pos="567"/>
              </w:tabs>
              <w:autoSpaceDE w:val="0"/>
              <w:autoSpaceDN w:val="0"/>
              <w:adjustRightInd w:val="0"/>
              <w:spacing w:before="120" w:after="120" w:line="240" w:lineRule="auto"/>
              <w:ind w:left="360"/>
              <w:jc w:val="both"/>
              <w:rPr>
                <w:sz w:val="24"/>
                <w:szCs w:val="24"/>
              </w:rPr>
            </w:pP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Approbation du registre des zones protégées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Projet de registre des zones protégées</w:t>
            </w:r>
          </w:p>
        </w:tc>
      </w:tr>
    </w:tbl>
    <w:p w:rsidR="00AC6567" w:rsidRDefault="00AC6567" w:rsidP="00483478">
      <w:pPr>
        <w:autoSpaceDE w:val="0"/>
        <w:autoSpaceDN w:val="0"/>
        <w:adjustRightInd w:val="0"/>
        <w:spacing w:before="120" w:after="120" w:line="240" w:lineRule="auto"/>
        <w:rPr>
          <w:sz w:val="24"/>
          <w:szCs w:val="24"/>
          <w:u w:val="single"/>
        </w:rPr>
      </w:pPr>
    </w:p>
    <w:p w:rsidR="00AC6567" w:rsidRDefault="00AC6567">
      <w:pPr>
        <w:rPr>
          <w:sz w:val="24"/>
          <w:szCs w:val="24"/>
          <w:u w:val="single"/>
        </w:rPr>
      </w:pPr>
      <w:r>
        <w:rPr>
          <w:sz w:val="24"/>
          <w:szCs w:val="24"/>
          <w:u w:val="single"/>
        </w:rPr>
        <w:br w:type="page"/>
      </w:r>
    </w:p>
    <w:p w:rsidR="00AC6567" w:rsidRPr="00155AEB" w:rsidRDefault="00AC6567" w:rsidP="00483478">
      <w:pPr>
        <w:autoSpaceDE w:val="0"/>
        <w:autoSpaceDN w:val="0"/>
        <w:adjustRightInd w:val="0"/>
        <w:spacing w:before="120" w:after="120" w:line="240" w:lineRule="auto"/>
        <w:rPr>
          <w:sz w:val="24"/>
          <w:szCs w:val="24"/>
          <w:u w:val="singl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278"/>
      </w:tblGrid>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2.8: Réalisation d’un scénario « Baseline »</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Réaliser un scénario Baseline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9</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p w:rsidR="00AC6567" w:rsidRPr="00AF0FFA" w:rsidRDefault="00AC6567" w:rsidP="00AF0FFA">
            <w:pPr>
              <w:tabs>
                <w:tab w:val="left" w:pos="567"/>
              </w:tabs>
              <w:autoSpaceDE w:val="0"/>
              <w:autoSpaceDN w:val="0"/>
              <w:adjustRightInd w:val="0"/>
              <w:spacing w:before="120" w:after="120" w:line="240" w:lineRule="auto"/>
              <w:rPr>
                <w:sz w:val="24"/>
                <w:szCs w:val="24"/>
              </w:rPr>
            </w:pP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pStyle w:val="ListParagraph"/>
              <w:numPr>
                <w:ilvl w:val="0"/>
                <w:numId w:val="24"/>
              </w:numPr>
              <w:tabs>
                <w:tab w:val="left" w:pos="567"/>
              </w:tabs>
              <w:autoSpaceDE w:val="0"/>
              <w:autoSpaceDN w:val="0"/>
              <w:adjustRightInd w:val="0"/>
              <w:spacing w:before="120" w:after="120" w:line="240" w:lineRule="auto"/>
              <w:jc w:val="both"/>
              <w:rPr>
                <w:sz w:val="24"/>
                <w:szCs w:val="24"/>
              </w:rPr>
            </w:pPr>
            <w:r w:rsidRPr="00AF0FFA">
              <w:rPr>
                <w:sz w:val="24"/>
                <w:szCs w:val="24"/>
              </w:rPr>
              <w:t>Au cours de 2 ateliers d’échange d’expériences, les éléments suivants seront identifiées afin de définit un scénario "baseline":les évolutions socio-économiques</w:t>
            </w:r>
          </w:p>
          <w:p w:rsidR="00AC6567" w:rsidRPr="00AF0FFA" w:rsidRDefault="00AC6567" w:rsidP="00AF0FFA">
            <w:pPr>
              <w:pStyle w:val="ListParagraph"/>
              <w:numPr>
                <w:ilvl w:val="0"/>
                <w:numId w:val="24"/>
              </w:numPr>
              <w:tabs>
                <w:tab w:val="left" w:pos="567"/>
              </w:tabs>
              <w:autoSpaceDE w:val="0"/>
              <w:autoSpaceDN w:val="0"/>
              <w:adjustRightInd w:val="0"/>
              <w:spacing w:before="120" w:after="120" w:line="240" w:lineRule="auto"/>
              <w:jc w:val="both"/>
              <w:rPr>
                <w:sz w:val="24"/>
                <w:szCs w:val="24"/>
              </w:rPr>
            </w:pPr>
            <w:r w:rsidRPr="00AF0FFA">
              <w:rPr>
                <w:sz w:val="24"/>
                <w:szCs w:val="24"/>
              </w:rPr>
              <w:t>les évolutions démographiques</w:t>
            </w:r>
          </w:p>
          <w:p w:rsidR="00AC6567" w:rsidRPr="00AF0FFA" w:rsidRDefault="00AC6567" w:rsidP="00AF0FFA">
            <w:pPr>
              <w:pStyle w:val="ListParagraph"/>
              <w:numPr>
                <w:ilvl w:val="0"/>
                <w:numId w:val="24"/>
              </w:numPr>
              <w:tabs>
                <w:tab w:val="left" w:pos="567"/>
              </w:tabs>
              <w:autoSpaceDE w:val="0"/>
              <w:autoSpaceDN w:val="0"/>
              <w:adjustRightInd w:val="0"/>
              <w:spacing w:before="120" w:after="120" w:line="240" w:lineRule="auto"/>
              <w:jc w:val="both"/>
              <w:rPr>
                <w:sz w:val="24"/>
                <w:szCs w:val="24"/>
              </w:rPr>
            </w:pPr>
            <w:r w:rsidRPr="00AF0FFA">
              <w:rPr>
                <w:sz w:val="24"/>
                <w:szCs w:val="24"/>
              </w:rPr>
              <w:t>les évolutions technologiques</w:t>
            </w:r>
          </w:p>
          <w:p w:rsidR="00AC6567" w:rsidRPr="00AF0FFA" w:rsidRDefault="00AC6567" w:rsidP="00AF0FFA">
            <w:pPr>
              <w:pStyle w:val="ListParagraph"/>
              <w:numPr>
                <w:ilvl w:val="0"/>
                <w:numId w:val="24"/>
              </w:numPr>
              <w:tabs>
                <w:tab w:val="left" w:pos="567"/>
              </w:tabs>
              <w:autoSpaceDE w:val="0"/>
              <w:autoSpaceDN w:val="0"/>
              <w:adjustRightInd w:val="0"/>
              <w:spacing w:before="120" w:after="120" w:line="240" w:lineRule="auto"/>
              <w:jc w:val="both"/>
              <w:rPr>
                <w:sz w:val="24"/>
                <w:szCs w:val="24"/>
              </w:rPr>
            </w:pPr>
            <w:r w:rsidRPr="00AF0FFA">
              <w:rPr>
                <w:sz w:val="24"/>
                <w:szCs w:val="24"/>
              </w:rPr>
              <w:t>les évolutions climatologiques</w:t>
            </w:r>
          </w:p>
          <w:p w:rsidR="00AC6567" w:rsidRPr="00AF0FFA" w:rsidRDefault="00AC6567" w:rsidP="00AF0FFA">
            <w:pPr>
              <w:pStyle w:val="ListParagraph"/>
              <w:numPr>
                <w:ilvl w:val="0"/>
                <w:numId w:val="24"/>
              </w:numPr>
              <w:tabs>
                <w:tab w:val="left" w:pos="567"/>
              </w:tabs>
              <w:autoSpaceDE w:val="0"/>
              <w:autoSpaceDN w:val="0"/>
              <w:adjustRightInd w:val="0"/>
              <w:spacing w:before="120" w:after="120" w:line="240" w:lineRule="auto"/>
              <w:jc w:val="both"/>
              <w:rPr>
                <w:sz w:val="24"/>
                <w:szCs w:val="24"/>
              </w:rPr>
            </w:pPr>
            <w:r w:rsidRPr="00AF0FFA">
              <w:rPr>
                <w:sz w:val="24"/>
                <w:szCs w:val="24"/>
              </w:rPr>
              <w:t>la politique en vigueur.</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le scénario Baseline dans le bassin</w:t>
            </w:r>
          </w:p>
        </w:tc>
      </w:tr>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2.9: Estimation de l’atteinte des objectifs pour les masses d’eau</w:t>
            </w:r>
            <w:r w:rsidRPr="00AF0FFA">
              <w:rPr>
                <w:b/>
                <w:bCs/>
                <w:sz w:val="24"/>
                <w:szCs w:val="24"/>
                <w:lang w:eastAsia="fr-FR"/>
              </w:rPr>
              <w:t xml:space="preserve"> </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Estimation de l’atteinte des objectifs pour les masses d’eau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10</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Dans un atelier une évaluation de la probabilité que les masses d’eau ne soient pas conformes aux objectifs environnementaux (bon état ou bon potentiel) sera réalisé. Pour ces masses d’eau il sera nécessaire de programmer de mesures supplémentaires. </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Identification des masses d’eau qui ne sont pas conformes aux objectifs environnementaux</w:t>
            </w:r>
          </w:p>
        </w:tc>
      </w:tr>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2.10: Réalisation d’un programme de surveillance dans le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rPr>
              <w:t>Développement d’un réseau de contrôle de surveillance, destiné à donner une image de l’état général des eaux du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11</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4  experts CT x 1mission x 5 h/j (20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L’activité sera mise en place par l’organisation de six sessions de formation et de six ateliers. L’activité devra être réalisée sur la base d’une définition partagée d’un programme de surveillance et de l’expérience européenne, selon laquelle, un « programme de surveillance du bassin » devrait être constitué par :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 </w:t>
            </w:r>
          </w:p>
          <w:p w:rsidR="00AC6567" w:rsidRPr="00AF0FFA" w:rsidRDefault="00AC6567" w:rsidP="00AF0FFA">
            <w:pPr>
              <w:pStyle w:val="ListParagraph"/>
              <w:numPr>
                <w:ilvl w:val="0"/>
                <w:numId w:val="25"/>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un réseau de suivi quantitatif des cours d’eau et des plans d’eau, destiné à évaluer les conditions hydrologiques annuelles, à calculer des flux de polluants et à s’assurer du respect des objectifs de quantité; </w:t>
            </w:r>
          </w:p>
          <w:p w:rsidR="00AC6567" w:rsidRPr="00AF0FFA" w:rsidRDefault="00AC6567" w:rsidP="00AF0FFA">
            <w:pPr>
              <w:pStyle w:val="ListParagraph"/>
              <w:numPr>
                <w:ilvl w:val="0"/>
                <w:numId w:val="25"/>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un réseau de contrôle de surveillance des eaux de surface et des eaux souterraines, destinés d’une part à avoir une image globale de l’état des eaux à l’échelle du bassin hydraulique et d’autre part à pouvoir en suivre les évolutions dans le temps pour évaluer les effets des programmes de mesures ou des modifications à long terme des conditions naturelles, liées par exemple aux changements climatiques. </w:t>
            </w:r>
          </w:p>
          <w:p w:rsidR="00AC6567" w:rsidRPr="00AF0FFA" w:rsidRDefault="00AC6567" w:rsidP="00AF0FFA">
            <w:pPr>
              <w:pStyle w:val="ListParagraph"/>
              <w:numPr>
                <w:ilvl w:val="0"/>
                <w:numId w:val="25"/>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un programme de contrôle opérationnel des masses d’eau de surface et souterraines risquant de ne pas atteindre leurs objectifs environnementaux ; </w:t>
            </w:r>
          </w:p>
          <w:p w:rsidR="00AC6567" w:rsidRPr="00AF0FFA" w:rsidRDefault="00AC6567" w:rsidP="00AF0FFA">
            <w:pPr>
              <w:pStyle w:val="ListParagraph"/>
              <w:numPr>
                <w:ilvl w:val="0"/>
                <w:numId w:val="25"/>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des contrôles d’enquête, à réaliser notamment en cas de pollutions accidentelles ou de conditions hydrologiques (crues ou sécheresses) exceptionnelles ; </w:t>
            </w:r>
          </w:p>
          <w:p w:rsidR="00AC6567" w:rsidRPr="00AF0FFA" w:rsidRDefault="00AC6567" w:rsidP="00AF0FFA">
            <w:pPr>
              <w:pStyle w:val="ListParagraph"/>
              <w:numPr>
                <w:ilvl w:val="0"/>
                <w:numId w:val="25"/>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des contrôles particuliers effectués dans les zones inscrites au registre des zones protégées, destinés à évaluer le degré d’atteinte des objectifs particuliers ; </w:t>
            </w:r>
          </w:p>
          <w:p w:rsidR="00AC6567" w:rsidRPr="00AF0FFA" w:rsidRDefault="00AC6567" w:rsidP="00AF0FFA">
            <w:pPr>
              <w:pStyle w:val="ListParagraph"/>
              <w:numPr>
                <w:ilvl w:val="0"/>
                <w:numId w:val="25"/>
              </w:numPr>
              <w:tabs>
                <w:tab w:val="left" w:pos="567"/>
              </w:tabs>
              <w:autoSpaceDE w:val="0"/>
              <w:autoSpaceDN w:val="0"/>
              <w:adjustRightInd w:val="0"/>
              <w:spacing w:before="120" w:after="120" w:line="240" w:lineRule="auto"/>
              <w:jc w:val="both"/>
              <w:rPr>
                <w:sz w:val="24"/>
                <w:szCs w:val="24"/>
              </w:rPr>
            </w:pPr>
            <w:r w:rsidRPr="00AF0FFA">
              <w:rPr>
                <w:sz w:val="24"/>
                <w:szCs w:val="24"/>
              </w:rPr>
              <w:t>des contrôles additionnels pour les captages d’eau de surface d’alimentation en eau potable supérieurs à 100 m3/jour.</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Six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rPr>
            </w:pPr>
            <w:r w:rsidRPr="00AF0FFA">
              <w:rPr>
                <w:sz w:val="24"/>
                <w:szCs w:val="24"/>
              </w:rPr>
              <w:t>Approbation de la structure d'un réseau de contrôle de surveillance</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rPr>
              <w:t>Approbation d'un programme de surveillance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Réseaux de surveillance</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rPr>
              <w:t>Projet de programme de surveillance</w:t>
            </w:r>
          </w:p>
        </w:tc>
      </w:tr>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2.11: Réalisation d'une formation sur la surveillance du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Contribution à la création de capacités pour à la réalisation d’un système de surveillance efficace du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12 et 13</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4 experts CT x 1mission x 10 h/j (40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L’activité de formation se déroulera par l’organisation de séances pratiques d’échange d’expérience portant sur trois étapes clé de la surveillance: </w:t>
            </w:r>
          </w:p>
          <w:p w:rsidR="00AC6567" w:rsidRPr="00AF0FFA" w:rsidRDefault="00AC6567" w:rsidP="00AF0FFA">
            <w:pPr>
              <w:pStyle w:val="ListParagraph"/>
              <w:numPr>
                <w:ilvl w:val="0"/>
                <w:numId w:val="27"/>
              </w:numPr>
              <w:tabs>
                <w:tab w:val="left" w:pos="567"/>
              </w:tabs>
              <w:autoSpaceDE w:val="0"/>
              <w:autoSpaceDN w:val="0"/>
              <w:adjustRightInd w:val="0"/>
              <w:spacing w:before="120" w:after="120" w:line="240" w:lineRule="auto"/>
              <w:jc w:val="both"/>
              <w:rPr>
                <w:sz w:val="24"/>
                <w:szCs w:val="24"/>
              </w:rPr>
            </w:pPr>
            <w:r w:rsidRPr="00AF0FFA">
              <w:rPr>
                <w:sz w:val="24"/>
                <w:szCs w:val="24"/>
              </w:rPr>
              <w:t>La prise d’échantillons ;</w:t>
            </w:r>
          </w:p>
          <w:p w:rsidR="00AC6567" w:rsidRPr="00AF0FFA" w:rsidRDefault="00AC6567" w:rsidP="00AF0FFA">
            <w:pPr>
              <w:pStyle w:val="ListParagraph"/>
              <w:numPr>
                <w:ilvl w:val="0"/>
                <w:numId w:val="27"/>
              </w:numPr>
              <w:tabs>
                <w:tab w:val="left" w:pos="567"/>
              </w:tabs>
              <w:autoSpaceDE w:val="0"/>
              <w:autoSpaceDN w:val="0"/>
              <w:adjustRightInd w:val="0"/>
              <w:spacing w:before="120" w:after="120" w:line="240" w:lineRule="auto"/>
              <w:jc w:val="both"/>
              <w:rPr>
                <w:sz w:val="24"/>
                <w:szCs w:val="24"/>
              </w:rPr>
            </w:pPr>
            <w:r w:rsidRPr="00AF0FFA">
              <w:rPr>
                <w:sz w:val="24"/>
                <w:szCs w:val="24"/>
              </w:rPr>
              <w:t>L’analyse des échantillons ;</w:t>
            </w:r>
          </w:p>
          <w:p w:rsidR="00AC6567" w:rsidRPr="00AF0FFA" w:rsidRDefault="00AC6567" w:rsidP="00AF0FFA">
            <w:pPr>
              <w:pStyle w:val="ListParagraph"/>
              <w:numPr>
                <w:ilvl w:val="0"/>
                <w:numId w:val="27"/>
              </w:numPr>
              <w:tabs>
                <w:tab w:val="left" w:pos="567"/>
              </w:tabs>
              <w:autoSpaceDE w:val="0"/>
              <w:autoSpaceDN w:val="0"/>
              <w:adjustRightInd w:val="0"/>
              <w:spacing w:before="120" w:after="120" w:line="240" w:lineRule="auto"/>
              <w:jc w:val="both"/>
              <w:rPr>
                <w:sz w:val="24"/>
                <w:szCs w:val="24"/>
              </w:rPr>
            </w:pPr>
            <w:r w:rsidRPr="00AF0FFA">
              <w:rPr>
                <w:sz w:val="24"/>
                <w:szCs w:val="24"/>
              </w:rPr>
              <w:t>L’identification de l’état des masses d’eau.</w:t>
            </w:r>
          </w:p>
          <w:p w:rsidR="00AC6567" w:rsidRPr="00AF0FFA" w:rsidRDefault="00AC6567" w:rsidP="00AF0FFA">
            <w:pPr>
              <w:tabs>
                <w:tab w:val="left" w:pos="567"/>
              </w:tabs>
              <w:autoSpaceDE w:val="0"/>
              <w:autoSpaceDN w:val="0"/>
              <w:adjustRightInd w:val="0"/>
              <w:spacing w:before="120" w:after="120"/>
              <w:jc w:val="both"/>
              <w:rPr>
                <w:sz w:val="24"/>
                <w:szCs w:val="24"/>
              </w:rPr>
            </w:pPr>
            <w:r w:rsidRPr="00AF0FFA">
              <w:rPr>
                <w:sz w:val="24"/>
                <w:szCs w:val="24"/>
              </w:rPr>
              <w:t xml:space="preserve">Les paramètres à prendre en considération pourraient être les suivants :   </w:t>
            </w:r>
          </w:p>
          <w:p w:rsidR="00AC6567" w:rsidRPr="00AF0FFA" w:rsidRDefault="00AC6567" w:rsidP="00AF0FFA">
            <w:pPr>
              <w:pStyle w:val="ListParagraph"/>
              <w:numPr>
                <w:ilvl w:val="0"/>
                <w:numId w:val="26"/>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Eléments de qualité biologiques (poissons, macrozoobenthos, phytoplancton, phytobenthos et macrophytes) </w:t>
            </w:r>
          </w:p>
          <w:p w:rsidR="00AC6567" w:rsidRPr="00AF0FFA" w:rsidRDefault="00AC6567" w:rsidP="00AF0FFA">
            <w:pPr>
              <w:pStyle w:val="ListParagraph"/>
              <w:numPr>
                <w:ilvl w:val="0"/>
                <w:numId w:val="26"/>
              </w:numPr>
              <w:tabs>
                <w:tab w:val="left" w:pos="567"/>
              </w:tabs>
              <w:autoSpaceDE w:val="0"/>
              <w:autoSpaceDN w:val="0"/>
              <w:adjustRightInd w:val="0"/>
              <w:spacing w:before="120" w:after="120" w:line="240" w:lineRule="auto"/>
              <w:jc w:val="both"/>
              <w:rPr>
                <w:sz w:val="24"/>
                <w:szCs w:val="24"/>
              </w:rPr>
            </w:pPr>
            <w:r w:rsidRPr="00AF0FFA">
              <w:rPr>
                <w:sz w:val="24"/>
                <w:szCs w:val="24"/>
              </w:rPr>
              <w:t xml:space="preserve">Eléments de qualité hydro morphologiques, notamment le milieu physique, la continuité et le régime hydrologique </w:t>
            </w:r>
          </w:p>
          <w:p w:rsidR="00AC6567" w:rsidRPr="00AF0FFA" w:rsidRDefault="00AC6567" w:rsidP="00AF0FFA">
            <w:pPr>
              <w:pStyle w:val="ListParagraph"/>
              <w:numPr>
                <w:ilvl w:val="0"/>
                <w:numId w:val="26"/>
              </w:numPr>
              <w:tabs>
                <w:tab w:val="left" w:pos="567"/>
              </w:tabs>
              <w:autoSpaceDE w:val="0"/>
              <w:autoSpaceDN w:val="0"/>
              <w:adjustRightInd w:val="0"/>
              <w:spacing w:before="120" w:after="120" w:line="240" w:lineRule="auto"/>
              <w:jc w:val="both"/>
              <w:rPr>
                <w:sz w:val="24"/>
                <w:szCs w:val="24"/>
              </w:rPr>
            </w:pPr>
            <w:r w:rsidRPr="00AF0FFA">
              <w:rPr>
                <w:sz w:val="24"/>
                <w:szCs w:val="24"/>
              </w:rPr>
              <w:t>Eléments de qualité physico-chimiques</w:t>
            </w:r>
          </w:p>
          <w:p w:rsidR="00AC6567" w:rsidRPr="00AF0FFA" w:rsidRDefault="00AC6567" w:rsidP="00AF0FFA">
            <w:pPr>
              <w:pStyle w:val="ListParagraph"/>
              <w:numPr>
                <w:ilvl w:val="0"/>
                <w:numId w:val="26"/>
              </w:numPr>
              <w:tabs>
                <w:tab w:val="left" w:pos="567"/>
              </w:tabs>
              <w:autoSpaceDE w:val="0"/>
              <w:autoSpaceDN w:val="0"/>
              <w:adjustRightInd w:val="0"/>
              <w:spacing w:before="120" w:after="120" w:line="240" w:lineRule="auto"/>
              <w:jc w:val="both"/>
              <w:rPr>
                <w:sz w:val="24"/>
                <w:szCs w:val="24"/>
              </w:rPr>
            </w:pPr>
            <w:r w:rsidRPr="00AF0FFA">
              <w:rPr>
                <w:sz w:val="24"/>
                <w:szCs w:val="24"/>
              </w:rPr>
              <w:t>Les principaux polluants spécifiques du district</w:t>
            </w:r>
          </w:p>
          <w:p w:rsidR="00AC6567" w:rsidRPr="00AF0FFA" w:rsidRDefault="00AC6567" w:rsidP="00AF0FFA">
            <w:pPr>
              <w:pStyle w:val="ListParagraph"/>
              <w:numPr>
                <w:ilvl w:val="0"/>
                <w:numId w:val="27"/>
              </w:numPr>
              <w:tabs>
                <w:tab w:val="left" w:pos="567"/>
              </w:tabs>
              <w:autoSpaceDE w:val="0"/>
              <w:autoSpaceDN w:val="0"/>
              <w:adjustRightInd w:val="0"/>
              <w:spacing w:before="120" w:after="120" w:line="240" w:lineRule="auto"/>
              <w:jc w:val="both"/>
              <w:rPr>
                <w:sz w:val="24"/>
                <w:szCs w:val="24"/>
              </w:rPr>
            </w:pP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Douze 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L’état biologique et chimique de trois masses d’eau</w:t>
            </w:r>
          </w:p>
        </w:tc>
      </w:tr>
    </w:tbl>
    <w:p w:rsidR="00AC6567" w:rsidRDefault="00AC6567">
      <w:pP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278"/>
      </w:tblGrid>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2.12: Elaboration de l’état des lieux du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Finalisation du rapport sur l’état des lieux du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14</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4 experts CT x 1mission x 5 h/j (20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Deux experts et les experts de l’administration bénéficiaire établiront l’état des lieux du bassin et rédigeront la version finale du rapport sur cet état des lieux. L’activité d’élaboration sera  complétée par l’organisation de 2sessions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l’état des lieux du bassin</w:t>
            </w:r>
          </w:p>
        </w:tc>
      </w:tr>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rPr>
              <w:t>Activité 2.13: Information et consultation du public</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Renforcer  l’information et la  consultation du public dans la gestion des ressources en 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15</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Des séances pilotes de partage d’instruments européens de consultation et de participation du public seront organisées. Ses séances pourraient porter sur :   </w:t>
            </w:r>
          </w:p>
          <w:p w:rsidR="00AC6567" w:rsidRPr="00AF0FFA" w:rsidRDefault="00AC6567" w:rsidP="00AF0FFA">
            <w:pPr>
              <w:pStyle w:val="ListParagraph"/>
              <w:numPr>
                <w:ilvl w:val="0"/>
                <w:numId w:val="28"/>
              </w:numPr>
              <w:tabs>
                <w:tab w:val="left" w:pos="567"/>
              </w:tabs>
              <w:autoSpaceDE w:val="0"/>
              <w:autoSpaceDN w:val="0"/>
              <w:adjustRightInd w:val="0"/>
              <w:spacing w:before="120" w:after="120" w:line="240" w:lineRule="auto"/>
              <w:jc w:val="both"/>
              <w:rPr>
                <w:sz w:val="24"/>
                <w:szCs w:val="24"/>
              </w:rPr>
            </w:pPr>
            <w:r w:rsidRPr="00AF0FFA">
              <w:rPr>
                <w:sz w:val="24"/>
                <w:szCs w:val="24"/>
              </w:rPr>
              <w:t>Les modalités de développement et publication d’un calendrier et un programme de travail pour l'élaboration du projet d’un plan de gestion ;</w:t>
            </w:r>
          </w:p>
          <w:p w:rsidR="00AC6567" w:rsidRPr="00AF0FFA" w:rsidRDefault="00AC6567" w:rsidP="00AF0FFA">
            <w:pPr>
              <w:pStyle w:val="ListParagraph"/>
              <w:numPr>
                <w:ilvl w:val="0"/>
                <w:numId w:val="28"/>
              </w:numPr>
              <w:tabs>
                <w:tab w:val="left" w:pos="567"/>
              </w:tabs>
              <w:autoSpaceDE w:val="0"/>
              <w:autoSpaceDN w:val="0"/>
              <w:adjustRightInd w:val="0"/>
              <w:spacing w:before="120" w:after="120" w:line="240" w:lineRule="auto"/>
              <w:jc w:val="both"/>
              <w:rPr>
                <w:sz w:val="24"/>
                <w:szCs w:val="24"/>
              </w:rPr>
            </w:pPr>
            <w:r w:rsidRPr="00AF0FFA">
              <w:rPr>
                <w:sz w:val="24"/>
                <w:szCs w:val="24"/>
              </w:rPr>
              <w:t>L’organisation de 2 réunions publiques dans le bassin pour la présentation du calendrier et du programme de travail pour l'élaboration du projet d’un plan de gestion ;</w:t>
            </w:r>
          </w:p>
          <w:p w:rsidR="00AC6567" w:rsidRPr="00AF0FFA" w:rsidRDefault="00AC6567" w:rsidP="00AF0FFA">
            <w:pPr>
              <w:pStyle w:val="ListParagraph"/>
              <w:numPr>
                <w:ilvl w:val="0"/>
                <w:numId w:val="28"/>
              </w:numPr>
              <w:tabs>
                <w:tab w:val="left" w:pos="567"/>
              </w:tabs>
              <w:autoSpaceDE w:val="0"/>
              <w:autoSpaceDN w:val="0"/>
              <w:adjustRightInd w:val="0"/>
              <w:spacing w:before="120" w:after="120" w:line="240" w:lineRule="auto"/>
              <w:jc w:val="both"/>
              <w:rPr>
                <w:sz w:val="24"/>
                <w:szCs w:val="24"/>
              </w:rPr>
            </w:pPr>
            <w:r w:rsidRPr="00AF0FFA">
              <w:rPr>
                <w:sz w:val="24"/>
                <w:szCs w:val="24"/>
              </w:rPr>
              <w:t>L’information et consultation du public sur le calendrier et sur le programme de travail pour l'élaboration du projet d’un plan de gestion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Six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réunions publiques au sein du le bassin justifiées par des PV  dûment élaborés par l’administration bénéficiaire ;</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p w:rsidR="00AC6567" w:rsidRPr="00AF0FFA" w:rsidRDefault="00AC6567" w:rsidP="00AF0FFA">
            <w:pPr>
              <w:widowControl w:val="0"/>
              <w:autoSpaceDE w:val="0"/>
              <w:autoSpaceDN w:val="0"/>
              <w:adjustRightInd w:val="0"/>
              <w:spacing w:before="120" w:after="120" w:line="240" w:lineRule="auto"/>
              <w:jc w:val="both"/>
              <w:rPr>
                <w:sz w:val="24"/>
                <w:szCs w:val="24"/>
              </w:rPr>
            </w:pPr>
            <w:r w:rsidRPr="00AF0FFA">
              <w:rPr>
                <w:sz w:val="24"/>
                <w:szCs w:val="24"/>
              </w:rPr>
              <w:t>calendrier de consultation et un programme de travail</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tc>
      </w:tr>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 xml:space="preserve">Activité 2.14: Définition et Publication des questions de gestion clé pour le bassin </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Définition du périmètre de transparence relatif à la </w:t>
            </w:r>
            <w:r w:rsidRPr="00AF0FFA">
              <w:rPr>
                <w:sz w:val="24"/>
                <w:szCs w:val="24"/>
              </w:rPr>
              <w:t xml:space="preserve">gestion du bassin, qui fera l’objet de </w:t>
            </w:r>
            <w:r w:rsidRPr="00AF0FFA">
              <w:rPr>
                <w:sz w:val="24"/>
                <w:szCs w:val="24"/>
                <w:lang w:eastAsia="fr-FR"/>
              </w:rPr>
              <w:t>consultation publique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15</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Cette activité s’articulera  autour de l’organisation de sessions de formation et de partage d’expérience, portant essentiellement sur l’identification des principales questions relatives à la gestion du district hydraulique. Le rapport sur les principales questions doit être publié et soumis aux observations du public, y compris des usagers.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Publication de</w:t>
            </w:r>
            <w:r w:rsidRPr="00AF0FFA">
              <w:rPr>
                <w:sz w:val="24"/>
                <w:szCs w:val="24"/>
              </w:rPr>
              <w:t>s questions de gestion clé pour le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les principales questions de gestion, soumis aux observations du public et des usagers</w:t>
            </w:r>
          </w:p>
        </w:tc>
      </w:tr>
    </w:tbl>
    <w:p w:rsidR="00AC6567" w:rsidRDefault="00AC6567" w:rsidP="00483478">
      <w:pPr>
        <w:autoSpaceDE w:val="0"/>
        <w:autoSpaceDN w:val="0"/>
        <w:adjustRightInd w:val="0"/>
        <w:spacing w:before="120" w:after="120" w:line="240" w:lineRule="auto"/>
        <w:rPr>
          <w:sz w:val="24"/>
          <w:szCs w:val="24"/>
          <w:u w:val="single"/>
        </w:rPr>
      </w:pPr>
    </w:p>
    <w:p w:rsidR="00AC6567" w:rsidRDefault="00AC6567">
      <w:pPr>
        <w:rPr>
          <w:sz w:val="24"/>
          <w:szCs w:val="24"/>
          <w:u w:val="single"/>
        </w:rPr>
      </w:pPr>
      <w:r>
        <w:rPr>
          <w:sz w:val="24"/>
          <w:szCs w:val="24"/>
          <w:u w:val="single"/>
        </w:rPr>
        <w:br w:type="page"/>
      </w:r>
    </w:p>
    <w:p w:rsidR="00AC6567" w:rsidRPr="00155AEB" w:rsidRDefault="00AC6567" w:rsidP="00483478">
      <w:pPr>
        <w:autoSpaceDE w:val="0"/>
        <w:autoSpaceDN w:val="0"/>
        <w:adjustRightInd w:val="0"/>
        <w:spacing w:before="120" w:after="120" w:line="240" w:lineRule="auto"/>
        <w:rPr>
          <w:sz w:val="24"/>
          <w:szCs w:val="24"/>
          <w:u w:val="singl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278"/>
      </w:tblGrid>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rPr>
              <w:t>Activité 2.15: Définition des objectifs relatifs à une masse d’eau artificielle et à une masse d’eau fortement modifiée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Déterminer de façon participative les objectifs pour une masse d’eau artificielle, une masse d’eau fortement modifiée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16</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 but est de définir l’objectif potentiel écologique pour une masse d’eau artificielle et une masse d’eau fortement modifiée. Les valeurs des paramètres biologiques pour ces masses d’eau seront différents des valeurs des paramètres biologiques pour les masses d’eau naturelles. Les valeurs chimiques sont les mêmes pour toutes les masses d’eau.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Dans cette activité le potentiel écologique optimal pour deux masses d’eau artificielle et pour deux masses d’eau fortement modifiées sélectionnées sera défini et fixé.  La définition des objectifs sera issue d'un échange d'expérience avec les experts de l'Etat membre attributaire de la mise en œuvre du projet.</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Six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Approbation de l’objectif d’un </w:t>
            </w:r>
            <w:r w:rsidRPr="00AF0FFA">
              <w:rPr>
                <w:sz w:val="24"/>
                <w:szCs w:val="24"/>
              </w:rPr>
              <w:t>potentiel écologique optimal pour deux masses d’eau artificielle et pour deux masses d’eau fortement modifiées sélectionnées</w:t>
            </w:r>
            <w:r w:rsidRPr="00AF0FFA">
              <w:rPr>
                <w:sz w:val="24"/>
                <w:szCs w:val="24"/>
                <w:lang w:eastAsia="fr-FR"/>
              </w:rPr>
              <w:t xml:space="preserve"> </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Communication/consultation </w:t>
            </w:r>
            <w:r w:rsidRPr="00AF0FFA">
              <w:rPr>
                <w:sz w:val="24"/>
                <w:szCs w:val="24"/>
              </w:rPr>
              <w:t>aux/avec les parties prenantes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L’objectif d’un </w:t>
            </w:r>
            <w:r w:rsidRPr="00AF0FFA">
              <w:rPr>
                <w:sz w:val="24"/>
                <w:szCs w:val="24"/>
              </w:rPr>
              <w:t>potentiel écologique optimal pour deux masses d’eau artificielle et pour deux masses d’eau fortement modifiées sélectionnées sera fixé et communiqué aux parties prenantes</w:t>
            </w:r>
            <w:r w:rsidRPr="00AF0FFA">
              <w:rPr>
                <w:sz w:val="24"/>
                <w:szCs w:val="24"/>
                <w:lang w:eastAsia="fr-FR"/>
              </w:rPr>
              <w:t>.</w:t>
            </w:r>
          </w:p>
        </w:tc>
      </w:tr>
    </w:tbl>
    <w:p w:rsidR="00AC6567" w:rsidRDefault="00AC6567" w:rsidP="00483478">
      <w:pPr>
        <w:autoSpaceDE w:val="0"/>
        <w:autoSpaceDN w:val="0"/>
        <w:adjustRightInd w:val="0"/>
        <w:spacing w:before="120" w:after="120" w:line="240" w:lineRule="auto"/>
        <w:rPr>
          <w:sz w:val="24"/>
          <w:szCs w:val="24"/>
          <w:u w:val="single"/>
        </w:rPr>
      </w:pPr>
    </w:p>
    <w:p w:rsidR="00AC6567" w:rsidRDefault="00AC6567">
      <w:pPr>
        <w:rPr>
          <w:sz w:val="24"/>
          <w:szCs w:val="24"/>
          <w:u w:val="single"/>
        </w:rPr>
      </w:pPr>
      <w:r>
        <w:rPr>
          <w:sz w:val="24"/>
          <w:szCs w:val="24"/>
          <w:u w:val="single"/>
        </w:rPr>
        <w:br w:type="page"/>
      </w:r>
    </w:p>
    <w:p w:rsidR="00AC6567" w:rsidRPr="00155AEB" w:rsidRDefault="00AC6567" w:rsidP="00483478">
      <w:pPr>
        <w:autoSpaceDE w:val="0"/>
        <w:autoSpaceDN w:val="0"/>
        <w:adjustRightInd w:val="0"/>
        <w:spacing w:before="120" w:after="120" w:line="240" w:lineRule="auto"/>
        <w:rPr>
          <w:sz w:val="24"/>
          <w:szCs w:val="24"/>
          <w:u w:val="singl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7278"/>
      </w:tblGrid>
      <w:tr w:rsidR="00AC6567" w:rsidRPr="00AF0FFA">
        <w:tc>
          <w:tcPr>
            <w:tcW w:w="92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2.16: Développement d'un programme de mesures</w:t>
            </w:r>
            <w:r w:rsidRPr="00AF0FFA">
              <w:rPr>
                <w:b/>
                <w:bCs/>
                <w:sz w:val="24"/>
                <w:szCs w:val="24"/>
                <w:lang w:eastAsia="fr-FR"/>
              </w:rPr>
              <w:t xml:space="preserve"> pour le bassin pilote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Développement d’un programme de mesures pour le bassin pilote</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17</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4 experts CT x 1mission x 10 h/j (40 jours au total)</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L’activité sera exécutée par l’organisation  d’un minimum de six sessions de formation.</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 programme de mesures sera caractérise par : </w:t>
            </w:r>
          </w:p>
          <w:p w:rsidR="00AC6567" w:rsidRPr="00AF0FFA" w:rsidRDefault="00AC6567" w:rsidP="00AF0FFA">
            <w:pPr>
              <w:pStyle w:val="ListParagraph"/>
              <w:numPr>
                <w:ilvl w:val="0"/>
                <w:numId w:val="29"/>
              </w:numPr>
              <w:tabs>
                <w:tab w:val="left" w:pos="567"/>
              </w:tabs>
              <w:autoSpaceDE w:val="0"/>
              <w:autoSpaceDN w:val="0"/>
              <w:adjustRightInd w:val="0"/>
              <w:spacing w:before="120" w:after="120" w:line="240" w:lineRule="auto"/>
              <w:jc w:val="both"/>
              <w:rPr>
                <w:sz w:val="24"/>
                <w:szCs w:val="24"/>
              </w:rPr>
            </w:pPr>
            <w:r w:rsidRPr="00AF0FFA">
              <w:rPr>
                <w:sz w:val="24"/>
                <w:szCs w:val="24"/>
              </w:rPr>
              <w:t>l’échelle du bassin, comprenant les mesures à réaliser pour atteindre les objectifs, incluant la réutilisation des eaux usées et le dessalement</w:t>
            </w:r>
          </w:p>
          <w:p w:rsidR="00AC6567" w:rsidRPr="00AF0FFA" w:rsidRDefault="00AC6567" w:rsidP="00AF0FFA">
            <w:pPr>
              <w:pStyle w:val="ListParagraph"/>
              <w:numPr>
                <w:ilvl w:val="0"/>
                <w:numId w:val="29"/>
              </w:numPr>
              <w:tabs>
                <w:tab w:val="left" w:pos="567"/>
              </w:tabs>
              <w:autoSpaceDE w:val="0"/>
              <w:autoSpaceDN w:val="0"/>
              <w:adjustRightInd w:val="0"/>
              <w:spacing w:before="120" w:after="120" w:line="240" w:lineRule="auto"/>
              <w:jc w:val="both"/>
              <w:rPr>
                <w:sz w:val="24"/>
                <w:szCs w:val="24"/>
              </w:rPr>
            </w:pPr>
            <w:r w:rsidRPr="00AF0FFA">
              <w:rPr>
                <w:sz w:val="24"/>
                <w:szCs w:val="24"/>
              </w:rPr>
              <w:t>les mesures peuvent être de nature réglementaire, économique, fiscale, contractuelle, etc.</w:t>
            </w:r>
          </w:p>
          <w:p w:rsidR="00AC6567" w:rsidRPr="00AF0FFA" w:rsidRDefault="00AC6567" w:rsidP="00AF0FFA">
            <w:pPr>
              <w:pStyle w:val="ListParagraph"/>
              <w:numPr>
                <w:ilvl w:val="0"/>
                <w:numId w:val="29"/>
              </w:numPr>
              <w:tabs>
                <w:tab w:val="left" w:pos="567"/>
              </w:tabs>
              <w:autoSpaceDE w:val="0"/>
              <w:autoSpaceDN w:val="0"/>
              <w:adjustRightInd w:val="0"/>
              <w:spacing w:before="120" w:after="120" w:line="240" w:lineRule="auto"/>
              <w:jc w:val="both"/>
              <w:rPr>
                <w:sz w:val="24"/>
                <w:szCs w:val="24"/>
              </w:rPr>
            </w:pPr>
            <w:r w:rsidRPr="00AF0FFA">
              <w:rPr>
                <w:sz w:val="24"/>
                <w:szCs w:val="24"/>
              </w:rPr>
              <w:t>la mise en œuvre d'outils d'aide à la décision</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 programme devra considérer les articles 4.1, 4.2, 4.3 de la Directive Cadre de l’Eau qui permettent d’identifier des dérogations pour certaines masses d’eau.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 programme de mesure devra considérer le dessalement de l'eau de mer, la sécurité des barrages, la police de l'eau, les partenariats publics-privés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Six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Approbation du programme de mesures pour le bassin</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programme de mesures pour le bassin</w:t>
            </w:r>
          </w:p>
        </w:tc>
      </w:tr>
    </w:tbl>
    <w:p w:rsidR="00AC6567" w:rsidRDefault="00AC6567" w:rsidP="00483478">
      <w:pPr>
        <w:autoSpaceDE w:val="0"/>
        <w:autoSpaceDN w:val="0"/>
        <w:adjustRightInd w:val="0"/>
        <w:spacing w:before="120" w:after="120" w:line="240" w:lineRule="auto"/>
        <w:rPr>
          <w:sz w:val="24"/>
          <w:szCs w:val="24"/>
          <w:u w:val="single"/>
        </w:rPr>
      </w:pPr>
    </w:p>
    <w:p w:rsidR="00AC6567" w:rsidRDefault="00AC6567">
      <w:pPr>
        <w:rPr>
          <w:sz w:val="24"/>
          <w:szCs w:val="24"/>
          <w:u w:val="single"/>
        </w:rPr>
      </w:pPr>
      <w:r>
        <w:rPr>
          <w:sz w:val="24"/>
          <w:szCs w:val="24"/>
          <w:u w:val="single"/>
        </w:rPr>
        <w:br w:type="page"/>
      </w:r>
    </w:p>
    <w:p w:rsidR="00AC6567" w:rsidRPr="00155AEB" w:rsidRDefault="00AC6567" w:rsidP="00483478">
      <w:pPr>
        <w:autoSpaceDE w:val="0"/>
        <w:autoSpaceDN w:val="0"/>
        <w:adjustRightInd w:val="0"/>
        <w:spacing w:before="120" w:after="120" w:line="240" w:lineRule="auto"/>
        <w:rPr>
          <w:sz w:val="24"/>
          <w:szCs w:val="24"/>
          <w:u w:val="singl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51"/>
        <w:gridCol w:w="74"/>
        <w:gridCol w:w="71"/>
        <w:gridCol w:w="7682"/>
      </w:tblGrid>
      <w:tr w:rsidR="00AC6567" w:rsidRPr="00AF0FFA">
        <w:tc>
          <w:tcPr>
            <w:tcW w:w="9286" w:type="dxa"/>
            <w:gridSpan w:val="4"/>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rPr>
              <w:t>Activité 2.17: Information et consultation le public sur le programme des mesures</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Participation du public sur le projet d’un plan de gestion</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17</w:t>
            </w:r>
          </w:p>
        </w:tc>
      </w:tr>
      <w:tr w:rsidR="00AC6567" w:rsidRPr="00AF0FFA">
        <w:tc>
          <w:tcPr>
            <w:tcW w:w="1900" w:type="dxa"/>
            <w:gridSpan w:val="2"/>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Il y aura deux réunions publiques dans le bassin pour présenter le projet d’un plan de mesures. Les réunions ont pour objectif d’informer les participants et de les consulter sur les mesures. Les représentants des secteurs économiques comme l’agriculture, l’industrie, les ONG’s, les municipalités etc. seront invités à participer aux réunions. </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réunions publiques dans le bassin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Approbation du premier projet de plan de gestion</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projet d’un plan de gestion</w:t>
            </w:r>
          </w:p>
        </w:tc>
      </w:tr>
      <w:tr w:rsidR="00AC6567" w:rsidRPr="00AF0FFA">
        <w:tc>
          <w:tcPr>
            <w:tcW w:w="9286" w:type="dxa"/>
            <w:gridSpan w:val="4"/>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2.18: Elaboration d'un projet de plan de gestion pour le bassin pilote</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plan de gestion pour le bassin pilote est élaboré</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18</w:t>
            </w:r>
          </w:p>
        </w:tc>
      </w:tr>
      <w:tr w:rsidR="00AC6567" w:rsidRPr="00AF0FFA">
        <w:tc>
          <w:tcPr>
            <w:tcW w:w="1900" w:type="dxa"/>
            <w:gridSpan w:val="2"/>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 projet d’un plan de gestion sera réalisé à la lumière des articles 13 et  14 et de l’Annexe VII de la Directive Cadre de l’Eau. L’Annexe VII de la Directive Cadre sur l’Eau contient le sommaire d’un plan de gestion.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Les résultats des activités de la composante 2 du présent projet fourniront le contenu du projet d’un plan de gestion.   Deux sessions de formation seront réalisées.</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Approbation du projet final de plan de gestion</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Un projet d’un plan de gestion</w:t>
            </w:r>
          </w:p>
        </w:tc>
      </w:tr>
      <w:tr w:rsidR="00AC6567" w:rsidRPr="00AF0FFA">
        <w:tc>
          <w:tcPr>
            <w:tcW w:w="9286" w:type="dxa"/>
            <w:gridSpan w:val="4"/>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2.19: Information et consultation du le public sur le projet du plan de gestion</w:t>
            </w:r>
            <w:r w:rsidRPr="00AF0FFA">
              <w:rPr>
                <w:b/>
                <w:bCs/>
                <w:sz w:val="24"/>
                <w:szCs w:val="24"/>
                <w:lang w:eastAsia="fr-FR"/>
              </w:rPr>
              <w:t xml:space="preserve"> </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Information et consultation du public sur le projet du plan de gestion</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18</w:t>
            </w:r>
          </w:p>
        </w:tc>
      </w:tr>
      <w:tr w:rsidR="00AC6567" w:rsidRPr="00AF0FFA">
        <w:tc>
          <w:tcPr>
            <w:tcW w:w="1900" w:type="dxa"/>
            <w:gridSpan w:val="2"/>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Deux réunions publiques seront organisées au sein du bassin pour présenter le projet de plan de gestion. Les réunions ont comme objectif d’informer les participants et de les consulter sur le projet d’un plan de gestion. Les représentants des secteurs économiques comme l’agriculture, l’industrie, la société civile (y inclus les ONGs), les municipalités etc. seront invitées.</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réunions publiques dans le bassin justifiées par des PV ;</w:t>
            </w:r>
          </w:p>
        </w:tc>
      </w:tr>
      <w:tr w:rsidR="00AC6567" w:rsidRPr="00AF0FFA">
        <w:tc>
          <w:tcPr>
            <w:tcW w:w="190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projet d’un plan de gestion final</w:t>
            </w:r>
          </w:p>
        </w:tc>
      </w:tr>
      <w:tr w:rsidR="00AC6567" w:rsidRPr="00AF0FFA">
        <w:tc>
          <w:tcPr>
            <w:tcW w:w="9286" w:type="dxa"/>
            <w:gridSpan w:val="4"/>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2.20: Elaboration de manuels et guides méthodologiques pour le plan de gestion</w:t>
            </w:r>
          </w:p>
        </w:tc>
      </w:tr>
      <w:tr w:rsidR="00AC6567" w:rsidRPr="00AF0FFA">
        <w:tc>
          <w:tcPr>
            <w:tcW w:w="1853" w:type="dxa"/>
          </w:tcPr>
          <w:p w:rsidR="00AC6567" w:rsidRPr="00AF0FFA" w:rsidRDefault="00AC6567" w:rsidP="00AF0FFA">
            <w:pPr>
              <w:widowControl w:val="0"/>
              <w:autoSpaceDE w:val="0"/>
              <w:autoSpaceDN w:val="0"/>
              <w:adjustRightInd w:val="0"/>
              <w:spacing w:before="120" w:after="120" w:line="240" w:lineRule="auto"/>
              <w:jc w:val="both"/>
              <w:rPr>
                <w:b/>
                <w:bCs/>
                <w:sz w:val="24"/>
                <w:szCs w:val="24"/>
              </w:rPr>
            </w:pPr>
            <w:r w:rsidRPr="00AF0FFA">
              <w:rPr>
                <w:b/>
                <w:bCs/>
                <w:sz w:val="24"/>
                <w:szCs w:val="24"/>
                <w:lang w:eastAsia="fr-FR"/>
              </w:rPr>
              <w:t>Objectif :</w:t>
            </w:r>
          </w:p>
        </w:tc>
        <w:tc>
          <w:tcPr>
            <w:tcW w:w="7433"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Faciliter la pérennisation des techniques d’élaboration de plans de gestion dans l’esprit de la Directive Cadre de l’Eau</w:t>
            </w:r>
          </w:p>
        </w:tc>
      </w:tr>
      <w:tr w:rsidR="00AC6567" w:rsidRPr="00AF0FFA">
        <w:tc>
          <w:tcPr>
            <w:tcW w:w="185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433"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19</w:t>
            </w:r>
          </w:p>
        </w:tc>
      </w:tr>
      <w:tr w:rsidR="00AC6567" w:rsidRPr="00AF0FFA">
        <w:tc>
          <w:tcPr>
            <w:tcW w:w="1853"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433" w:type="dxa"/>
            <w:gridSpan w:val="3"/>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8 experts CT x 1mission x 5 h/j (40 jours au total)</w:t>
            </w:r>
          </w:p>
        </w:tc>
      </w:tr>
      <w:tr w:rsidR="00AC6567" w:rsidRPr="00AF0FFA">
        <w:tc>
          <w:tcPr>
            <w:tcW w:w="185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433"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85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433" w:type="dxa"/>
            <w:gridSpan w:val="3"/>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Les états membres de l’UE ont produit plusieurs manuels pour faciliter la mise en œuvre de la DCE. Ce sont des manuels pour identifier les masses d’eau, l’analyse économique, la surveillance etc. </w:t>
            </w:r>
            <w:r w:rsidRPr="00AF0FFA">
              <w:rPr>
                <w:sz w:val="24"/>
                <w:szCs w:val="24"/>
                <w:u w:val="single"/>
              </w:rPr>
              <w:t>https://circabc.europa.eu/faces/jsp/extension/wai/navigation/container.jsp</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Ces manuels ont été élaborés sur la base des contextes propres à chacun des EM. Par des séances de partage et de formation, l’administration bénéficiaire sera accompagnée dans l’élaboration d’outils (manuels et guides) pour la conception de plans de gestion adaptés à la situation spécifique du Maroc.</w:t>
            </w:r>
          </w:p>
        </w:tc>
      </w:tr>
      <w:tr w:rsidR="00AC6567" w:rsidRPr="00AF0FFA">
        <w:tc>
          <w:tcPr>
            <w:tcW w:w="185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433"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tc>
      </w:tr>
      <w:tr w:rsidR="00AC6567" w:rsidRPr="00AF0FFA">
        <w:tc>
          <w:tcPr>
            <w:tcW w:w="1853"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433"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Des manuels et méthodologies qui répondent à la situation spécifique de Maroc.</w:t>
            </w:r>
          </w:p>
        </w:tc>
      </w:tr>
      <w:tr w:rsidR="00AC6567" w:rsidRPr="00AF0FFA">
        <w:tc>
          <w:tcPr>
            <w:tcW w:w="5000" w:type="pct"/>
            <w:gridSpan w:val="4"/>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2.21 : Visite d’étude</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rPr>
            </w:pPr>
            <w:r w:rsidRPr="00AF0FFA">
              <w:rPr>
                <w:b/>
                <w:bCs/>
                <w:sz w:val="24"/>
                <w:szCs w:val="24"/>
                <w:lang w:eastAsia="fr-FR"/>
              </w:rPr>
              <w:t>Objectif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rPr>
              <w:t>Obtenir une vue d’ensemble des activités mises en place par des Etats membres qui ont transposé la Directive Cadre sur l’Eau</w:t>
            </w:r>
            <w:r w:rsidRPr="00AF0FFA">
              <w:rPr>
                <w:sz w:val="24"/>
                <w:szCs w:val="24"/>
                <w:lang w:eastAsia="fr-FR"/>
              </w:rPr>
              <w:t xml:space="preserve"> </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16</w:t>
            </w:r>
          </w:p>
        </w:tc>
      </w:tr>
      <w:tr w:rsidR="00AC6567" w:rsidRPr="00AF0FFA">
        <w:tc>
          <w:tcPr>
            <w:tcW w:w="1039" w:type="pct"/>
            <w:gridSpan w:val="3"/>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61"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Dix participants, sélectionnés par le bénéficiaire</w:t>
            </w:r>
          </w:p>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V</w:t>
            </w:r>
            <w:r w:rsidRPr="00AF0FFA">
              <w:rPr>
                <w:sz w:val="24"/>
                <w:szCs w:val="24"/>
                <w:lang w:eastAsia="fr-FR"/>
              </w:rPr>
              <w:t>isite d’étude, de cinq jours ouvrables</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61" w:type="pct"/>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 but premier de cette visite est d’obtenir une vue d’ensemble des activités des Etats membres qui ont transposé la Directive Cadre sur l’Eau. Cette vue permettra   au bénéficiaire de profiter des différentes expériences des Etats membres. En 2012 la Commission européenne a publié un rapport pour le Parlement,  pour l’informer de la mise en œuvre de la DCE. </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 deuxième objectif est de visiter un pays qui est situé dans un delta et qui a beaucoup d’expérience  dans le domaine de la gestion des eaux dans des agglomérations et  de l’adaptation au changement climatique. Le Maroc, qui a aussi  de grandes agglomérations (Rabat, Casablanca, Tanger etc) connait aussi des deltas et il est fortement influencé par le changement climatique.  </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Dix cadres et dirigeants formés aux thématiques identifiées</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la visite d’étude, réalisé par le bénéficiaire</w:t>
            </w:r>
          </w:p>
        </w:tc>
      </w:tr>
      <w:tr w:rsidR="00AC6567" w:rsidRPr="00AF0FFA">
        <w:tc>
          <w:tcPr>
            <w:tcW w:w="5000" w:type="pct"/>
            <w:gridSpan w:val="4"/>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2.22: Formation des formateurs</w:t>
            </w:r>
            <w:r w:rsidRPr="00AF0FFA">
              <w:rPr>
                <w:b/>
                <w:bCs/>
                <w:sz w:val="24"/>
                <w:szCs w:val="24"/>
                <w:lang w:eastAsia="fr-FR"/>
              </w:rPr>
              <w:t xml:space="preserve"> </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rPr>
            </w:pPr>
            <w:r w:rsidRPr="00AF0FFA">
              <w:rPr>
                <w:b/>
                <w:bCs/>
                <w:sz w:val="24"/>
                <w:szCs w:val="24"/>
                <w:lang w:eastAsia="fr-FR"/>
              </w:rPr>
              <w:t>Objectif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Former des formateurs qui formeront les futures experts sur la Directive Cadre sur l’Eau</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19</w:t>
            </w:r>
          </w:p>
        </w:tc>
      </w:tr>
      <w:tr w:rsidR="00AC6567" w:rsidRPr="00AF0FFA">
        <w:tc>
          <w:tcPr>
            <w:tcW w:w="1039" w:type="pct"/>
            <w:gridSpan w:val="3"/>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61"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4 experts CT x 1mission x 5 h/j (20 jours au total)</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61" w:type="pct"/>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 xml:space="preserve">Les formateurs seront formés sur toutes les phases d’application de la Directive Cadre sur l‘Eau par huit sessions de formation. Les formateurs seront identifiés par l’administration bénéficiaire. Des supports pédagogiques devront  être conçus à cet effet..    </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comme formateurs en matière de la Directive Cadre sur l’Eau</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Huit sessions de formation</w:t>
            </w:r>
          </w:p>
        </w:tc>
      </w:tr>
      <w:tr w:rsidR="00AC6567" w:rsidRPr="00AF0FFA">
        <w:tc>
          <w:tcPr>
            <w:tcW w:w="1039"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 Support pédagogiques</w:t>
            </w:r>
          </w:p>
        </w:tc>
      </w:tr>
    </w:tbl>
    <w:p w:rsidR="00AC6567" w:rsidRPr="00155AEB" w:rsidRDefault="00AC6567" w:rsidP="00194758">
      <w:pPr>
        <w:tabs>
          <w:tab w:val="left" w:pos="567"/>
        </w:tabs>
        <w:autoSpaceDE w:val="0"/>
        <w:autoSpaceDN w:val="0"/>
        <w:adjustRightInd w:val="0"/>
        <w:spacing w:before="120" w:after="120" w:line="240" w:lineRule="auto"/>
        <w:jc w:val="both"/>
        <w:rPr>
          <w:sz w:val="24"/>
          <w:szCs w:val="24"/>
          <w:u w:val="single"/>
        </w:rPr>
      </w:pPr>
    </w:p>
    <w:p w:rsidR="00AC6567" w:rsidRDefault="00AC6567" w:rsidP="00194758">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line="240" w:lineRule="auto"/>
        <w:rPr>
          <w:b/>
          <w:bCs/>
          <w:sz w:val="24"/>
          <w:szCs w:val="24"/>
        </w:rPr>
      </w:pPr>
      <w:r w:rsidRPr="00155AEB">
        <w:rPr>
          <w:b/>
          <w:bCs/>
          <w:sz w:val="24"/>
          <w:szCs w:val="24"/>
        </w:rPr>
        <w:t xml:space="preserve">Composante 3 : </w:t>
      </w:r>
      <w:r>
        <w:rPr>
          <w:b/>
          <w:bCs/>
          <w:sz w:val="24"/>
          <w:szCs w:val="24"/>
        </w:rPr>
        <w:t>L</w:t>
      </w:r>
      <w:r w:rsidRPr="00155AEB">
        <w:rPr>
          <w:b/>
          <w:bCs/>
          <w:sz w:val="24"/>
          <w:szCs w:val="24"/>
        </w:rPr>
        <w:t>e projet d</w:t>
      </w:r>
      <w:r>
        <w:rPr>
          <w:b/>
          <w:bCs/>
          <w:sz w:val="24"/>
          <w:szCs w:val="24"/>
        </w:rPr>
        <w:t>e</w:t>
      </w:r>
      <w:r w:rsidRPr="00155AEB">
        <w:rPr>
          <w:b/>
          <w:bCs/>
          <w:sz w:val="24"/>
          <w:szCs w:val="24"/>
        </w:rPr>
        <w:t xml:space="preserve"> programme de convergence réglementaire  dans le secteur de l’eau </w:t>
      </w:r>
    </w:p>
    <w:p w:rsidR="00AC6567" w:rsidRPr="00C05713" w:rsidRDefault="00AC6567" w:rsidP="00194758">
      <w:pPr>
        <w:pBdr>
          <w:top w:val="single" w:sz="4" w:space="1" w:color="auto"/>
          <w:left w:val="single" w:sz="4" w:space="4" w:color="auto"/>
          <w:bottom w:val="single" w:sz="4" w:space="1" w:color="auto"/>
          <w:right w:val="single" w:sz="4" w:space="4" w:color="auto"/>
        </w:pBdr>
        <w:shd w:val="clear" w:color="auto" w:fill="DDD9C3"/>
        <w:autoSpaceDE w:val="0"/>
        <w:autoSpaceDN w:val="0"/>
        <w:adjustRightInd w:val="0"/>
        <w:spacing w:before="120" w:after="120" w:line="240" w:lineRule="auto"/>
        <w:rPr>
          <w:b/>
          <w:bCs/>
          <w:sz w:val="24"/>
          <w:szCs w:val="24"/>
        </w:rPr>
      </w:pPr>
      <w:r>
        <w:rPr>
          <w:sz w:val="24"/>
          <w:szCs w:val="24"/>
        </w:rPr>
        <w:t>La mise en œuvre de toutes les activités de cette composante prendra en compte les  avancées du Gouvernement marocain dans la préparation d'un programme national de convergence règlementaire.</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44"/>
        <w:gridCol w:w="7342"/>
      </w:tblGrid>
      <w:tr w:rsidR="00AC6567" w:rsidRPr="00AF0FFA">
        <w:tc>
          <w:tcPr>
            <w:tcW w:w="5000" w:type="pct"/>
            <w:gridSpan w:val="3"/>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rPr>
              <w:t>Activité 3.1 Définition des contours du programme de convergence réglementaire dans le secteur de l’eau</w:t>
            </w:r>
          </w:p>
        </w:tc>
      </w:tr>
      <w:tr w:rsidR="00AC6567" w:rsidRPr="00AF0FFA">
        <w:tc>
          <w:tcPr>
            <w:tcW w:w="1047" w:type="pct"/>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rPr>
            </w:pPr>
            <w:r w:rsidRPr="00AF0FFA">
              <w:rPr>
                <w:b/>
                <w:bCs/>
                <w:sz w:val="24"/>
                <w:szCs w:val="24"/>
                <w:lang w:eastAsia="fr-FR"/>
              </w:rPr>
              <w:t>Objectif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Définir préalablement le contenu et les informations à fournir dans le programme de convergence</w:t>
            </w:r>
          </w:p>
        </w:tc>
      </w:tr>
      <w:tr w:rsidR="00AC6567" w:rsidRPr="00AF0FFA">
        <w:tc>
          <w:tcPr>
            <w:tcW w:w="1047" w:type="pct"/>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20</w:t>
            </w:r>
          </w:p>
        </w:tc>
      </w:tr>
      <w:tr w:rsidR="00AC6567" w:rsidRPr="00AF0FFA">
        <w:tc>
          <w:tcPr>
            <w:tcW w:w="1047" w:type="pct"/>
            <w:gridSpan w:val="2"/>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53"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047" w:type="pct"/>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47" w:type="pct"/>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53" w:type="pct"/>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Il sera nécessaire de définir un sommaire détaillé faisant état des actions au niveau national, au niveau  du bassin, incluant les ressources humaines et financières du Ministère de l’Energie, des Mines, de l‘Eau et de l’Environnement, des autres institutions, des universités, de la société civile (y inclus les ONGs) et des Agences de bassins hydrauliques.</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 sommaire en question sera défini au cours de séances de partage et de formation</w:t>
            </w:r>
          </w:p>
        </w:tc>
      </w:tr>
      <w:tr w:rsidR="00AC6567" w:rsidRPr="00AF0FFA">
        <w:tc>
          <w:tcPr>
            <w:tcW w:w="1047" w:type="pct"/>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tc>
      </w:tr>
      <w:tr w:rsidR="00AC6567" w:rsidRPr="00AF0FFA">
        <w:tc>
          <w:tcPr>
            <w:tcW w:w="1047" w:type="pct"/>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53"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Sommaire du programme de convergence </w:t>
            </w:r>
          </w:p>
        </w:tc>
      </w:tr>
      <w:tr w:rsidR="00AC6567" w:rsidRPr="00AF0FFA">
        <w:tc>
          <w:tcPr>
            <w:tcW w:w="5000" w:type="pct"/>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3.2. Inventaire des informations existantes</w:t>
            </w:r>
          </w:p>
        </w:tc>
      </w:tr>
      <w:tr w:rsidR="00AC6567" w:rsidRPr="00AF0FFA">
        <w:tc>
          <w:tcPr>
            <w:tcW w:w="1023"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3977"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Analyse des informations qui sont disponibles pour l'élaboration du programme de convergence</w:t>
            </w:r>
          </w:p>
        </w:tc>
      </w:tr>
      <w:tr w:rsidR="00AC6567" w:rsidRPr="00AF0FFA">
        <w:tc>
          <w:tcPr>
            <w:tcW w:w="1023"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77"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20</w:t>
            </w:r>
          </w:p>
        </w:tc>
      </w:tr>
      <w:tr w:rsidR="00AC6567" w:rsidRPr="00AF0FFA">
        <w:tc>
          <w:tcPr>
            <w:tcW w:w="1023" w:type="pct"/>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77" w:type="pct"/>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023"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77"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23"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77" w:type="pct"/>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Les experts de l’EM attributaire du projet en coopération étroite avec les experts de l’administration bénéficiaire effectueront un inventaire des informations, des données et des sources disponibles pour l’élaboration du programme national de convergence. Cette activité devra tenir en compte des expériences européennes dans l’adoption des programmes nationaux d’adoption de l’Acquis communautaire.</w:t>
            </w:r>
            <w:r w:rsidRPr="00AF0FFA" w:rsidDel="006960EB">
              <w:rPr>
                <w:sz w:val="24"/>
                <w:szCs w:val="24"/>
              </w:rPr>
              <w:t xml:space="preserve"> </w:t>
            </w:r>
            <w:r w:rsidRPr="00AF0FFA">
              <w:rPr>
                <w:sz w:val="24"/>
                <w:szCs w:val="24"/>
              </w:rPr>
              <w:t>Cette activité sera réalisée en séances de partage et formation.</w:t>
            </w:r>
          </w:p>
        </w:tc>
      </w:tr>
      <w:tr w:rsidR="00AC6567" w:rsidRPr="00AF0FFA">
        <w:tc>
          <w:tcPr>
            <w:tcW w:w="1023"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77"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sujets identifiés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 sur le contenu de l’activité</w:t>
            </w:r>
          </w:p>
        </w:tc>
      </w:tr>
      <w:tr w:rsidR="00AC6567" w:rsidRPr="00AF0FFA">
        <w:tc>
          <w:tcPr>
            <w:tcW w:w="1023"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77"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Inventaire des sources et des informations pour l’élaboration du programme de convergence</w:t>
            </w:r>
          </w:p>
        </w:tc>
      </w:tr>
    </w:tbl>
    <w:p w:rsidR="00AC6567" w:rsidRDefault="00AC6567" w:rsidP="00483478">
      <w:pPr>
        <w:spacing w:before="120" w:after="120" w:line="240" w:lineRule="auto"/>
        <w:rPr>
          <w:sz w:val="24"/>
          <w:szCs w:val="24"/>
        </w:rPr>
      </w:pPr>
    </w:p>
    <w:p w:rsidR="00AC6567" w:rsidRDefault="00AC6567">
      <w:pPr>
        <w:rPr>
          <w:sz w:val="24"/>
          <w:szCs w:val="24"/>
        </w:rPr>
      </w:pPr>
      <w:r>
        <w:rPr>
          <w:sz w:val="24"/>
          <w:szCs w:val="24"/>
        </w:rPr>
        <w:br w:type="page"/>
      </w:r>
    </w:p>
    <w:p w:rsidR="00AC6567" w:rsidRPr="00155AEB" w:rsidRDefault="00AC6567" w:rsidP="00483478">
      <w:pPr>
        <w:spacing w:before="120" w:after="120" w:line="240" w:lineRule="auto"/>
        <w:rPr>
          <w:sz w:val="24"/>
          <w:szCs w:val="24"/>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0"/>
        <w:gridCol w:w="7356"/>
      </w:tblGrid>
      <w:tr w:rsidR="00AC6567" w:rsidRPr="00AF0FFA">
        <w:tc>
          <w:tcPr>
            <w:tcW w:w="5000"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3.3 : Estimation des coûts de la mise en œuvre du programme de convergence réglementaire dans le secteur de l’eau</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Evaluation du coût de mise en œuvre du programme de convergence</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21</w:t>
            </w:r>
          </w:p>
        </w:tc>
      </w:tr>
      <w:tr w:rsidR="00AC6567" w:rsidRPr="00AF0FFA">
        <w:tc>
          <w:tcPr>
            <w:tcW w:w="1039" w:type="pct"/>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61"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61" w:type="pct"/>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Par l’organisation des séances de partage et de formation, les experts de l’EM attributaire transféreront leur savoir-faire en termes d’évaluation d’impact économique réglementaire, sur une échelle nationale ou à niveau local (bassin). A la suite d’au moins 2 séances, les experts de l’administration bénéficiaire, accompagnés par les experts de l’administration homologue devront pouvoir estimer le  coût de transposition des mesures prévues par le plan national de convergence dans le domaine ciblé et de l’ensemble des mesures (y compris la non transposition), et ce au niveau national et local.</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résultats obtenus et aux méthodologies utilisées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Support pédagogique ;</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Un rapport avec une estimation des coûts de mise en œuvre du programme national de convergence réglementaire dans le secteur de l’eau</w:t>
            </w:r>
          </w:p>
        </w:tc>
      </w:tr>
      <w:tr w:rsidR="00AC6567" w:rsidRPr="00AF0FFA">
        <w:tc>
          <w:tcPr>
            <w:tcW w:w="5000"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3.4 Elaboration et mise en œuvre d’un plan de formation sur le programme de convergence réglementaire dans le secteur de l’eau</w:t>
            </w:r>
            <w:r w:rsidRPr="00AF0FFA">
              <w:rPr>
                <w:b/>
                <w:bCs/>
                <w:sz w:val="24"/>
                <w:szCs w:val="24"/>
                <w:lang w:eastAsia="fr-FR"/>
              </w:rPr>
              <w:t xml:space="preserve"> </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Analyse des besoins qualitatifs et quantitatifs pour la formation nécessaire à la mise en œuvre du programme national de convergence réglementaire dans le secteur de l’eau</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22</w:t>
            </w:r>
          </w:p>
        </w:tc>
      </w:tr>
      <w:tr w:rsidR="00AC6567" w:rsidRPr="00AF0FFA">
        <w:tc>
          <w:tcPr>
            <w:tcW w:w="1039" w:type="pct"/>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61"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15 h/j (30 jours au total)</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61" w:type="pct"/>
          </w:tcPr>
          <w:p w:rsidR="00AC6567" w:rsidRPr="00AF0FFA" w:rsidRDefault="00AC6567" w:rsidP="00AF0FFA">
            <w:pPr>
              <w:pStyle w:val="ListParagraph"/>
              <w:numPr>
                <w:ilvl w:val="0"/>
                <w:numId w:val="30"/>
              </w:numPr>
              <w:tabs>
                <w:tab w:val="left" w:pos="567"/>
              </w:tabs>
              <w:autoSpaceDE w:val="0"/>
              <w:autoSpaceDN w:val="0"/>
              <w:adjustRightInd w:val="0"/>
              <w:spacing w:before="120" w:after="120" w:line="240" w:lineRule="auto"/>
              <w:ind w:left="360"/>
              <w:jc w:val="both"/>
              <w:rPr>
                <w:sz w:val="24"/>
                <w:szCs w:val="24"/>
              </w:rPr>
            </w:pPr>
            <w:r w:rsidRPr="00AF0FFA">
              <w:rPr>
                <w:sz w:val="24"/>
                <w:szCs w:val="24"/>
              </w:rPr>
              <w:t>Les experts de l’administration attributaire devront identifier les besoins de l’administration bénéficiaire, élaborer un plan de formation, assurant la mise en œuvre du programme et le mettre en œuvre par des séances de partage et de formation.</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61" w:type="pct"/>
          </w:tcPr>
          <w:p w:rsidR="00AC6567" w:rsidRPr="00AF0FFA" w:rsidRDefault="00AC6567" w:rsidP="00AF0FFA">
            <w:pPr>
              <w:widowControl w:val="0"/>
              <w:autoSpaceDE w:val="0"/>
              <w:autoSpaceDN w:val="0"/>
              <w:adjustRightInd w:val="0"/>
              <w:spacing w:after="0" w:line="240" w:lineRule="auto"/>
              <w:jc w:val="both"/>
              <w:rPr>
                <w:sz w:val="24"/>
                <w:szCs w:val="24"/>
                <w:lang w:eastAsia="fr-FR"/>
              </w:rPr>
            </w:pPr>
            <w:r w:rsidRPr="00AF0FFA">
              <w:rPr>
                <w:sz w:val="24"/>
                <w:szCs w:val="24"/>
                <w:lang w:eastAsia="fr-FR"/>
              </w:rPr>
              <w:t>Programme de formation ;</w:t>
            </w:r>
          </w:p>
          <w:p w:rsidR="00AC6567" w:rsidRPr="00AF0FFA" w:rsidRDefault="00AC6567" w:rsidP="00AF0FFA">
            <w:pPr>
              <w:widowControl w:val="0"/>
              <w:autoSpaceDE w:val="0"/>
              <w:autoSpaceDN w:val="0"/>
              <w:adjustRightInd w:val="0"/>
              <w:spacing w:after="0" w:line="240" w:lineRule="auto"/>
              <w:jc w:val="both"/>
              <w:rPr>
                <w:sz w:val="24"/>
                <w:szCs w:val="24"/>
                <w:lang w:eastAsia="fr-FR"/>
              </w:rPr>
            </w:pPr>
            <w:r w:rsidRPr="00AF0FFA">
              <w:rPr>
                <w:sz w:val="24"/>
                <w:szCs w:val="24"/>
                <w:lang w:eastAsia="fr-FR"/>
              </w:rPr>
              <w:t>Supports pédagogiques ;</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l’impact des formations effectuées.</w:t>
            </w:r>
          </w:p>
        </w:tc>
      </w:tr>
      <w:tr w:rsidR="00AC6567" w:rsidRPr="00AF0FFA">
        <w:tc>
          <w:tcPr>
            <w:tcW w:w="5000" w:type="pct"/>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3.5. Elaboration du programme de convergence réglementaire dans le secteur de l’eau</w:t>
            </w:r>
            <w:r w:rsidRPr="00AF0FFA">
              <w:rPr>
                <w:b/>
                <w:bCs/>
                <w:sz w:val="24"/>
                <w:szCs w:val="24"/>
                <w:lang w:eastAsia="fr-FR"/>
              </w:rPr>
              <w:t xml:space="preserve"> </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Pérennisation du processus de convergence législative et règlementaire dans le domaine de l’eau afin d’améliorer la gestion des bassins hydrauliques.</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22</w:t>
            </w:r>
          </w:p>
        </w:tc>
      </w:tr>
      <w:tr w:rsidR="00AC6567" w:rsidRPr="00AF0FFA">
        <w:tc>
          <w:tcPr>
            <w:tcW w:w="1039" w:type="pct"/>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3961" w:type="pct"/>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10 h/j (20 jours au total)</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3961" w:type="pct"/>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Sur la base des résultats issus des activités 4.1, 4.2, 4.3 et 4.4, le programme national sera élaboré et il devra comprendre l’adoption de mesures normatives au niveau central et local. Le projet de programme national sera le fruit des efforts de l’administration bénéficiaire accompagnée par le savoir-faire des experts de l’administration attributaire du projet de jumelage.</w:t>
            </w:r>
          </w:p>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Cette activité prendra en compte, en particulier, les  avancées du Gouvernement marocain dans la préparation d'un programme nationale de convergence règlementaire.</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Vingt cadres et dirigeants formés aux thématiques identifiées</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Deux sessions de formation</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Approbation d'un programme de convergence</w:t>
            </w:r>
          </w:p>
        </w:tc>
      </w:tr>
      <w:tr w:rsidR="00AC6567" w:rsidRPr="00AF0FFA">
        <w:tc>
          <w:tcPr>
            <w:tcW w:w="1039" w:type="pct"/>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3961" w:type="pct"/>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rPr>
              <w:t>Programme de convergence réglementaire dans le secteur de l’eau</w:t>
            </w:r>
          </w:p>
        </w:tc>
      </w:tr>
    </w:tbl>
    <w:p w:rsidR="00AC6567" w:rsidRDefault="00AC6567">
      <w:pPr>
        <w:rPr>
          <w:sz w:val="24"/>
          <w:szCs w:val="24"/>
          <w:u w:val="single"/>
        </w:rPr>
      </w:pPr>
      <w:r>
        <w:rPr>
          <w:sz w:val="24"/>
          <w:szCs w:val="24"/>
          <w:u w:val="single"/>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0"/>
        <w:gridCol w:w="30"/>
        <w:gridCol w:w="7248"/>
      </w:tblGrid>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3.6 Organisation d'une conférence sur le programme de convergence réglementaire  dans le secteur de l’eau</w:t>
            </w:r>
            <w:r w:rsidRPr="00AF0FFA">
              <w:rPr>
                <w:b/>
                <w:bCs/>
                <w:sz w:val="24"/>
                <w:szCs w:val="24"/>
                <w:lang w:eastAsia="fr-FR"/>
              </w:rPr>
              <w:t xml:space="preserve"> </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Divulguer le programme de convergence de l’Eau</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Mois 23</w:t>
            </w:r>
          </w:p>
        </w:tc>
      </w:tr>
      <w:tr w:rsidR="00AC6567" w:rsidRPr="00AF0FFA">
        <w:tc>
          <w:tcPr>
            <w:tcW w:w="1900" w:type="dxa"/>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2 experts CT x 1mission x 5 h/j (10 jours au total)</w:t>
            </w:r>
          </w:p>
          <w:p w:rsidR="00AC6567" w:rsidRPr="00AF0FFA" w:rsidRDefault="00AC6567" w:rsidP="00AF0FFA">
            <w:pPr>
              <w:tabs>
                <w:tab w:val="left" w:pos="567"/>
              </w:tabs>
              <w:autoSpaceDE w:val="0"/>
              <w:autoSpaceDN w:val="0"/>
              <w:adjustRightInd w:val="0"/>
              <w:spacing w:before="120" w:after="120" w:line="240" w:lineRule="auto"/>
              <w:rPr>
                <w:sz w:val="24"/>
                <w:szCs w:val="24"/>
              </w:rPr>
            </w:pP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86" w:type="dxa"/>
            <w:gridSpan w:val="2"/>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Cette activité devra  adopter une approche inclusive. Des experts de l’administration attributaire et des experts de l’administration homologue, accompagnés par des représentants de la société civile et du secteur privé participeront à son organisation et interviendront dans les travaux. Toutes les parties prenantes, telles que les autres ministères, les ONG, universités, industrie, bassins hydrauliques, agriculture etc. et les administrations concernées par le processus général de convergence réglementaire (MEF, MAEC, SGG, etc…) seront invitées.</w:t>
            </w: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Une conférence nationale pour environ 200 personnes, justifiée par la liste des présents et des photos </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Diffusion d'un communiqué de presse</w:t>
            </w:r>
          </w:p>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p>
        </w:tc>
      </w:tr>
      <w:tr w:rsidR="00AC6567" w:rsidRPr="00AF0FFA">
        <w:tc>
          <w:tcPr>
            <w:tcW w:w="1900" w:type="dxa"/>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86" w:type="dxa"/>
            <w:gridSpan w:val="2"/>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les conclusions et recommandations issues de la conférence</w:t>
            </w:r>
          </w:p>
        </w:tc>
      </w:tr>
      <w:tr w:rsidR="00AC6567" w:rsidRPr="00AF0FFA">
        <w:tc>
          <w:tcPr>
            <w:tcW w:w="9286" w:type="dxa"/>
            <w:gridSpan w:val="3"/>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b/>
                <w:bCs/>
                <w:sz w:val="24"/>
                <w:szCs w:val="24"/>
              </w:rPr>
              <w:t>Activité 3.7 : Réalisation d’une visite d’étude sur la mise en œuvre de la Directive Cadre de l’Eau</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Objectif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rPr>
              <w:t>Se familiariser avec les expériences normative et institutionnelle d’un Etat membre qui a transposé la DCE et  qui possède des conditions climatiques, hydrologiques et biologiques semblables à celles du Maroc</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Calendrier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 xml:space="preserve">Mois 18 </w:t>
            </w:r>
          </w:p>
        </w:tc>
      </w:tr>
      <w:tr w:rsidR="00AC6567" w:rsidRPr="00AF0FFA">
        <w:tc>
          <w:tcPr>
            <w:tcW w:w="1930" w:type="dxa"/>
            <w:gridSpan w:val="2"/>
          </w:tcPr>
          <w:p w:rsidR="00AC6567" w:rsidRPr="00AF0FFA" w:rsidRDefault="00AC6567" w:rsidP="00AF0FFA">
            <w:pPr>
              <w:tabs>
                <w:tab w:val="left" w:pos="567"/>
              </w:tabs>
              <w:autoSpaceDE w:val="0"/>
              <w:autoSpaceDN w:val="0"/>
              <w:adjustRightInd w:val="0"/>
              <w:spacing w:before="120" w:after="120" w:line="240" w:lineRule="auto"/>
              <w:rPr>
                <w:i/>
                <w:iCs/>
                <w:sz w:val="24"/>
                <w:szCs w:val="24"/>
              </w:rPr>
            </w:pPr>
            <w:r w:rsidRPr="00AF0FFA">
              <w:rPr>
                <w:b/>
                <w:bCs/>
                <w:sz w:val="24"/>
                <w:szCs w:val="24"/>
                <w:lang w:eastAsia="fr-FR"/>
              </w:rPr>
              <w:t>Moyens (</w:t>
            </w:r>
            <w:r w:rsidRPr="00AF0FFA">
              <w:rPr>
                <w:i/>
                <w:iCs/>
                <w:sz w:val="24"/>
                <w:szCs w:val="24"/>
              </w:rPr>
              <w:t>nombre indicatif de jours ouvrés d’experts alloués) :</w:t>
            </w:r>
          </w:p>
        </w:tc>
        <w:tc>
          <w:tcPr>
            <w:tcW w:w="7356" w:type="dxa"/>
          </w:tcPr>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Dix participants, sélectionnés par le bénéficiaire.</w:t>
            </w:r>
          </w:p>
          <w:p w:rsidR="00AC6567" w:rsidRPr="00AF0FFA" w:rsidRDefault="00AC6567" w:rsidP="00AF0FFA">
            <w:pPr>
              <w:tabs>
                <w:tab w:val="left" w:pos="567"/>
              </w:tabs>
              <w:autoSpaceDE w:val="0"/>
              <w:autoSpaceDN w:val="0"/>
              <w:adjustRightInd w:val="0"/>
              <w:spacing w:before="120" w:after="120" w:line="240" w:lineRule="auto"/>
              <w:rPr>
                <w:sz w:val="24"/>
                <w:szCs w:val="24"/>
              </w:rPr>
            </w:pPr>
            <w:r w:rsidRPr="00AF0FFA">
              <w:rPr>
                <w:sz w:val="24"/>
                <w:szCs w:val="24"/>
              </w:rPr>
              <w:t xml:space="preserve"> </w:t>
            </w:r>
            <w:r w:rsidRPr="00AF0FFA">
              <w:rPr>
                <w:sz w:val="24"/>
                <w:szCs w:val="24"/>
                <w:lang w:eastAsia="fr-FR"/>
              </w:rPr>
              <w:t>Une visite d’étude, de cinq jours ouvrables</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Cible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Le Ministère délégué chargé de l’Eau, Agences des bassins hydrauliques</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Méthodologie :</w:t>
            </w:r>
          </w:p>
        </w:tc>
        <w:tc>
          <w:tcPr>
            <w:tcW w:w="7356" w:type="dxa"/>
          </w:tcPr>
          <w:p w:rsidR="00AC6567" w:rsidRPr="00AF0FFA" w:rsidRDefault="00AC6567" w:rsidP="00AF0FFA">
            <w:pPr>
              <w:tabs>
                <w:tab w:val="left" w:pos="567"/>
              </w:tabs>
              <w:autoSpaceDE w:val="0"/>
              <w:autoSpaceDN w:val="0"/>
              <w:adjustRightInd w:val="0"/>
              <w:spacing w:before="120" w:after="120" w:line="240" w:lineRule="auto"/>
              <w:jc w:val="both"/>
              <w:rPr>
                <w:sz w:val="24"/>
                <w:szCs w:val="24"/>
              </w:rPr>
            </w:pPr>
            <w:r w:rsidRPr="00AF0FFA">
              <w:rPr>
                <w:sz w:val="24"/>
                <w:szCs w:val="24"/>
              </w:rPr>
              <w:t>Le but de cette visite est de familiariser les expériences de nature réglementaire et institutionnelles nécessaires à la transposition de la DCE.  Il sera ainsi nécessaire d’organiser la visite auprès d’un EM qui a déjà transposé la directive en question. Ce pays devrait  posséder des conditions climatiques, hydrologiques et biologiques  semblables à celles du Maroc. En plus, ce pays doit avoir des agences d’eau au niveau des bassins à l'instar du Maroc.</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Indicateurs objectivement vérifiables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Dix cadres et dirigeants</w:t>
            </w:r>
          </w:p>
        </w:tc>
      </w:tr>
      <w:tr w:rsidR="00AC6567" w:rsidRPr="00AF0FFA">
        <w:tc>
          <w:tcPr>
            <w:tcW w:w="1930" w:type="dxa"/>
            <w:gridSpan w:val="2"/>
          </w:tcPr>
          <w:p w:rsidR="00AC6567" w:rsidRPr="00AF0FFA" w:rsidRDefault="00AC6567" w:rsidP="00AF0FFA">
            <w:pPr>
              <w:widowControl w:val="0"/>
              <w:autoSpaceDE w:val="0"/>
              <w:autoSpaceDN w:val="0"/>
              <w:adjustRightInd w:val="0"/>
              <w:spacing w:before="120" w:after="120" w:line="240" w:lineRule="auto"/>
              <w:jc w:val="both"/>
              <w:rPr>
                <w:b/>
                <w:bCs/>
                <w:sz w:val="24"/>
                <w:szCs w:val="24"/>
                <w:lang w:eastAsia="fr-FR"/>
              </w:rPr>
            </w:pPr>
            <w:r w:rsidRPr="00AF0FFA">
              <w:rPr>
                <w:b/>
                <w:bCs/>
                <w:sz w:val="24"/>
                <w:szCs w:val="24"/>
                <w:lang w:eastAsia="fr-FR"/>
              </w:rPr>
              <w:t>Livrables :</w:t>
            </w:r>
          </w:p>
        </w:tc>
        <w:tc>
          <w:tcPr>
            <w:tcW w:w="7356" w:type="dxa"/>
          </w:tcPr>
          <w:p w:rsidR="00AC6567" w:rsidRPr="00AF0FFA" w:rsidRDefault="00AC6567" w:rsidP="00AF0FFA">
            <w:pPr>
              <w:widowControl w:val="0"/>
              <w:autoSpaceDE w:val="0"/>
              <w:autoSpaceDN w:val="0"/>
              <w:adjustRightInd w:val="0"/>
              <w:spacing w:before="120" w:after="120" w:line="240" w:lineRule="auto"/>
              <w:jc w:val="both"/>
              <w:rPr>
                <w:sz w:val="24"/>
                <w:szCs w:val="24"/>
                <w:lang w:eastAsia="fr-FR"/>
              </w:rPr>
            </w:pPr>
            <w:r w:rsidRPr="00AF0FFA">
              <w:rPr>
                <w:sz w:val="24"/>
                <w:szCs w:val="24"/>
                <w:lang w:eastAsia="fr-FR"/>
              </w:rPr>
              <w:t>Rapport sur la visite d’étude, réalisé par le bénéficiaire</w:t>
            </w:r>
          </w:p>
        </w:tc>
      </w:tr>
    </w:tbl>
    <w:p w:rsidR="00AC6567" w:rsidRPr="00155AEB" w:rsidRDefault="00AC6567" w:rsidP="00483478">
      <w:pPr>
        <w:spacing w:before="120" w:after="120" w:line="240" w:lineRule="auto"/>
        <w:rPr>
          <w:sz w:val="24"/>
          <w:szCs w:val="24"/>
        </w:rPr>
      </w:pP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3.5 Moyens et apports de l’administration de l’État membre partenaire</w:t>
      </w: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3.5.1 Profil et tâches du chef de projet</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Le chef de projet sera chargé de la coordination des activités, de la dissémination des informations du projet parmi les parties prenantes, de prendre part aux discussions avec les hauts fonctionnaires, de présenter et défendre les inputs et les livrables attendus, de gérer l’équipe du projet, de préparer les rapports de gestion du projet, d’aider à résoudre tout problème éventuel lié à la mise en œuvre, assister le CRJ pour assurer le développement harmonieux des activités du projet. Le chef de projet devra consacrer au minimum 3 jours par mois au projet depuis le siège de son administration. De plus, celui-ci devra coordonner du côté de l’Etat membre, le Comité de pilotage du projet (CoPIL), qui se réunira à Rabat tous les 3 mois. Le chef de projet assurera ses fonctions pendant toute la durée du projet, soit 24 mois.</w:t>
      </w:r>
    </w:p>
    <w:p w:rsidR="00AC6567" w:rsidRPr="00155AEB" w:rsidRDefault="00AC6567" w:rsidP="00483478">
      <w:pPr>
        <w:autoSpaceDE w:val="0"/>
        <w:autoSpaceDN w:val="0"/>
        <w:adjustRightInd w:val="0"/>
        <w:spacing w:before="120" w:after="120" w:line="240" w:lineRule="auto"/>
        <w:jc w:val="both"/>
        <w:rPr>
          <w:i/>
          <w:iCs/>
          <w:sz w:val="24"/>
          <w:szCs w:val="24"/>
        </w:rPr>
      </w:pPr>
      <w:r w:rsidRPr="00155AEB">
        <w:rPr>
          <w:i/>
          <w:iCs/>
          <w:sz w:val="24"/>
          <w:szCs w:val="24"/>
        </w:rPr>
        <w:t>Le profil du chef de projet :</w:t>
      </w:r>
    </w:p>
    <w:p w:rsidR="00AC6567" w:rsidRPr="00155AEB" w:rsidRDefault="00AC6567" w:rsidP="00AC6F89">
      <w:pPr>
        <w:numPr>
          <w:ilvl w:val="0"/>
          <w:numId w:val="31"/>
        </w:numPr>
        <w:spacing w:before="120" w:after="120" w:line="240" w:lineRule="auto"/>
        <w:jc w:val="both"/>
        <w:rPr>
          <w:sz w:val="24"/>
          <w:szCs w:val="24"/>
          <w:lang w:eastAsia="en-GB"/>
        </w:rPr>
      </w:pPr>
      <w:r w:rsidRPr="00155AEB">
        <w:rPr>
          <w:sz w:val="24"/>
          <w:szCs w:val="24"/>
          <w:lang w:eastAsia="en-GB"/>
        </w:rPr>
        <w:t>Le</w:t>
      </w:r>
      <w:r>
        <w:rPr>
          <w:sz w:val="24"/>
          <w:szCs w:val="24"/>
          <w:lang w:eastAsia="en-GB"/>
        </w:rPr>
        <w:t>/la</w:t>
      </w:r>
      <w:r w:rsidRPr="00155AEB">
        <w:rPr>
          <w:sz w:val="24"/>
          <w:szCs w:val="24"/>
          <w:lang w:eastAsia="en-GB"/>
        </w:rPr>
        <w:t xml:space="preserve"> chef de projet doit être un haut fonctionnaire possédant au moins 15 ans d’expérience professionnelle, y compris 5 ans d’expérience en gestion administrative ;</w:t>
      </w:r>
    </w:p>
    <w:p w:rsidR="00AC6567" w:rsidRPr="00155AEB" w:rsidRDefault="00AC6567" w:rsidP="00AC6F89">
      <w:pPr>
        <w:numPr>
          <w:ilvl w:val="0"/>
          <w:numId w:val="31"/>
        </w:numPr>
        <w:spacing w:before="120" w:after="120" w:line="240" w:lineRule="auto"/>
        <w:jc w:val="both"/>
        <w:rPr>
          <w:sz w:val="24"/>
          <w:szCs w:val="24"/>
          <w:lang w:eastAsia="en-GB"/>
        </w:rPr>
      </w:pPr>
      <w:r w:rsidRPr="00155AEB">
        <w:rPr>
          <w:sz w:val="24"/>
          <w:szCs w:val="24"/>
          <w:lang w:eastAsia="en-GB"/>
        </w:rPr>
        <w:t>Un minimum de 10 ans d’expérience dans les problématiques du secteur de l’eau;</w:t>
      </w:r>
    </w:p>
    <w:p w:rsidR="00AC6567" w:rsidRPr="00155AEB" w:rsidRDefault="00AC6567" w:rsidP="00AC6F89">
      <w:pPr>
        <w:numPr>
          <w:ilvl w:val="0"/>
          <w:numId w:val="31"/>
        </w:numPr>
        <w:spacing w:before="120" w:after="120" w:line="240" w:lineRule="auto"/>
        <w:jc w:val="both"/>
        <w:rPr>
          <w:sz w:val="24"/>
          <w:szCs w:val="24"/>
          <w:lang w:eastAsia="en-GB"/>
        </w:rPr>
      </w:pPr>
      <w:r w:rsidRPr="00155AEB">
        <w:rPr>
          <w:sz w:val="24"/>
          <w:szCs w:val="24"/>
          <w:lang w:eastAsia="en-GB"/>
        </w:rPr>
        <w:t>Compétence technique suffisante dans le domaine législatif et réglementaire du secteur de l’eau dans les Etats membres ainsi que de l’Acquis de l’UE et des meilleures pratiques en la matière ;</w:t>
      </w:r>
    </w:p>
    <w:p w:rsidR="00AC6567" w:rsidRPr="00155AEB" w:rsidRDefault="00AC6567" w:rsidP="00AC6F89">
      <w:pPr>
        <w:numPr>
          <w:ilvl w:val="0"/>
          <w:numId w:val="31"/>
        </w:numPr>
        <w:spacing w:before="120" w:after="120" w:line="240" w:lineRule="auto"/>
        <w:jc w:val="both"/>
        <w:rPr>
          <w:sz w:val="24"/>
          <w:szCs w:val="24"/>
          <w:lang w:eastAsia="en-GB"/>
        </w:rPr>
      </w:pPr>
      <w:r w:rsidRPr="00155AEB">
        <w:rPr>
          <w:sz w:val="24"/>
          <w:szCs w:val="24"/>
          <w:lang w:eastAsia="en-GB"/>
        </w:rPr>
        <w:t>Expérience spécifique de la gestion de projets, en particulier les projets financés par l’UE comme le jumelage ;</w:t>
      </w:r>
    </w:p>
    <w:p w:rsidR="00AC6567" w:rsidRPr="00155AEB" w:rsidRDefault="00AC6567" w:rsidP="00AC6F89">
      <w:pPr>
        <w:numPr>
          <w:ilvl w:val="0"/>
          <w:numId w:val="31"/>
        </w:numPr>
        <w:spacing w:before="120" w:after="120" w:line="240" w:lineRule="auto"/>
        <w:jc w:val="both"/>
        <w:rPr>
          <w:sz w:val="24"/>
          <w:szCs w:val="24"/>
          <w:lang w:eastAsia="en-GB"/>
        </w:rPr>
      </w:pPr>
      <w:r w:rsidRPr="00155AEB">
        <w:rPr>
          <w:sz w:val="24"/>
          <w:szCs w:val="24"/>
          <w:lang w:eastAsia="en-GB"/>
        </w:rPr>
        <w:t>Fort leadership et bonne capacité à résoudre les problèmes ;</w:t>
      </w:r>
    </w:p>
    <w:p w:rsidR="00AC6567" w:rsidRPr="00155AEB" w:rsidRDefault="00AC6567" w:rsidP="00AC6F89">
      <w:pPr>
        <w:numPr>
          <w:ilvl w:val="0"/>
          <w:numId w:val="31"/>
        </w:numPr>
        <w:spacing w:before="120" w:after="120" w:line="240" w:lineRule="auto"/>
        <w:jc w:val="both"/>
        <w:rPr>
          <w:sz w:val="24"/>
          <w:szCs w:val="24"/>
          <w:lang w:eastAsia="en-GB"/>
        </w:rPr>
      </w:pPr>
      <w:r w:rsidRPr="00155AEB">
        <w:rPr>
          <w:sz w:val="24"/>
          <w:szCs w:val="24"/>
          <w:lang w:eastAsia="en-GB"/>
        </w:rPr>
        <w:t>Bonne aptitude en matière de communication au niveau institutionnel et administratif ;</w:t>
      </w:r>
    </w:p>
    <w:p w:rsidR="00AC6567" w:rsidRPr="00155AEB" w:rsidRDefault="00AC6567" w:rsidP="00AC6F89">
      <w:pPr>
        <w:numPr>
          <w:ilvl w:val="0"/>
          <w:numId w:val="31"/>
        </w:numPr>
        <w:spacing w:before="120" w:after="120" w:line="240" w:lineRule="auto"/>
        <w:jc w:val="both"/>
        <w:rPr>
          <w:sz w:val="24"/>
          <w:szCs w:val="24"/>
          <w:lang w:eastAsia="en-GB"/>
        </w:rPr>
      </w:pPr>
      <w:r w:rsidRPr="00155AEB">
        <w:rPr>
          <w:sz w:val="24"/>
          <w:szCs w:val="24"/>
          <w:lang w:eastAsia="en-GB"/>
        </w:rPr>
        <w:t xml:space="preserve">Excellente maîtrise de la langue française écrite et parlée.    </w:t>
      </w:r>
    </w:p>
    <w:p w:rsidR="00AC6567" w:rsidRPr="00155AEB" w:rsidRDefault="00AC6567" w:rsidP="00483478">
      <w:pPr>
        <w:spacing w:before="120" w:after="120" w:line="240" w:lineRule="auto"/>
        <w:ind w:left="900"/>
        <w:jc w:val="both"/>
        <w:rPr>
          <w:sz w:val="24"/>
          <w:szCs w:val="24"/>
          <w:lang w:eastAsia="en-GB"/>
        </w:rPr>
      </w:pPr>
    </w:p>
    <w:p w:rsidR="00AC6567" w:rsidRPr="00155AEB" w:rsidRDefault="00AC6567" w:rsidP="00483478">
      <w:pPr>
        <w:tabs>
          <w:tab w:val="right" w:pos="900"/>
        </w:tabs>
        <w:spacing w:before="120" w:after="120" w:line="240" w:lineRule="auto"/>
        <w:jc w:val="both"/>
        <w:rPr>
          <w:i/>
          <w:iCs/>
          <w:sz w:val="24"/>
          <w:szCs w:val="24"/>
          <w:lang w:eastAsia="en-GB"/>
        </w:rPr>
      </w:pPr>
      <w:r w:rsidRPr="00155AEB">
        <w:rPr>
          <w:i/>
          <w:iCs/>
          <w:sz w:val="24"/>
          <w:szCs w:val="24"/>
          <w:lang w:eastAsia="en-GB"/>
        </w:rPr>
        <w:t>Les tâches du chef de projet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Il/elle sera responsable de la conception et de l’orientation générale des apports de l’Etat membre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 xml:space="preserve">Il/elle sera </w:t>
      </w:r>
      <w:r>
        <w:rPr>
          <w:sz w:val="24"/>
          <w:szCs w:val="24"/>
          <w:lang w:eastAsia="en-GB"/>
        </w:rPr>
        <w:t xml:space="preserve">responsable </w:t>
      </w:r>
      <w:r w:rsidRPr="00155AEB">
        <w:rPr>
          <w:sz w:val="24"/>
          <w:szCs w:val="24"/>
          <w:lang w:eastAsia="en-GB"/>
        </w:rPr>
        <w:t>de la coordination globale, de la supervision méthodologique et du suivi du projet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Il/elle sera chargé(e) de la préparation des rapports du projet avec l’appui du CRJ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Il/elle sera responsable de la réalisation – en temps voulu – des résultats obligatoires du projet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Il/elle co-présidera le CoPIL du projet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Il/elle fournira des conseils et analyses techniques et d’ordre législatif si nécessaire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Il/elle travaillera en bonne coordination avec le conseiller (ère) résident (te) du jumelage ;</w:t>
      </w:r>
    </w:p>
    <w:p w:rsidR="00AC6567" w:rsidRPr="00155AEB" w:rsidRDefault="00AC6567" w:rsidP="00AC6F89">
      <w:pPr>
        <w:pStyle w:val="ListParagraph"/>
        <w:numPr>
          <w:ilvl w:val="0"/>
          <w:numId w:val="32"/>
        </w:numPr>
        <w:spacing w:before="120" w:after="120" w:line="240" w:lineRule="auto"/>
        <w:jc w:val="both"/>
        <w:rPr>
          <w:sz w:val="24"/>
          <w:szCs w:val="24"/>
          <w:lang w:eastAsia="en-GB"/>
        </w:rPr>
      </w:pPr>
      <w:r w:rsidRPr="00155AEB">
        <w:rPr>
          <w:sz w:val="24"/>
          <w:szCs w:val="24"/>
          <w:lang w:eastAsia="en-GB"/>
        </w:rPr>
        <w:t>Il/elle sera responsable de soumettre à l’UAP-P3A et à la CAP-RSA (avec une copie à la délégation de la Commission européenne à Rabat) les rapports intérimaires trimestriels relatifs au projet</w:t>
      </w: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3.5.2 Profil et tâches du CRJ</w:t>
      </w:r>
    </w:p>
    <w:p w:rsidR="00AC6567" w:rsidRPr="00155AEB" w:rsidRDefault="00AC6567" w:rsidP="00483478">
      <w:pPr>
        <w:tabs>
          <w:tab w:val="left" w:pos="426"/>
        </w:tabs>
        <w:autoSpaceDE w:val="0"/>
        <w:autoSpaceDN w:val="0"/>
        <w:adjustRightInd w:val="0"/>
        <w:spacing w:before="120" w:after="120" w:line="240" w:lineRule="auto"/>
        <w:jc w:val="both"/>
        <w:rPr>
          <w:sz w:val="24"/>
          <w:szCs w:val="24"/>
          <w:lang w:eastAsia="en-GB"/>
        </w:rPr>
      </w:pPr>
      <w:r w:rsidRPr="00155AEB">
        <w:rPr>
          <w:sz w:val="24"/>
          <w:szCs w:val="24"/>
          <w:lang w:eastAsia="en-GB"/>
        </w:rPr>
        <w:t>Le</w:t>
      </w:r>
      <w:r>
        <w:rPr>
          <w:sz w:val="24"/>
          <w:szCs w:val="24"/>
          <w:lang w:eastAsia="en-GB"/>
        </w:rPr>
        <w:t>/la</w:t>
      </w:r>
      <w:r w:rsidRPr="00155AEB">
        <w:rPr>
          <w:sz w:val="24"/>
          <w:szCs w:val="24"/>
          <w:lang w:eastAsia="en-GB"/>
        </w:rPr>
        <w:t xml:space="preserve"> Conseiller</w:t>
      </w:r>
      <w:r>
        <w:rPr>
          <w:sz w:val="24"/>
          <w:szCs w:val="24"/>
          <w:lang w:eastAsia="en-GB"/>
        </w:rPr>
        <w:t>(e)</w:t>
      </w:r>
      <w:r w:rsidRPr="00155AEB">
        <w:rPr>
          <w:sz w:val="24"/>
          <w:szCs w:val="24"/>
          <w:lang w:eastAsia="en-GB"/>
        </w:rPr>
        <w:t xml:space="preserve"> Résident</w:t>
      </w:r>
      <w:r>
        <w:rPr>
          <w:sz w:val="24"/>
          <w:szCs w:val="24"/>
          <w:lang w:eastAsia="en-GB"/>
        </w:rPr>
        <w:t xml:space="preserve"> (e) </w:t>
      </w:r>
      <w:r w:rsidRPr="00155AEB">
        <w:rPr>
          <w:sz w:val="24"/>
          <w:szCs w:val="24"/>
          <w:lang w:eastAsia="en-GB"/>
        </w:rPr>
        <w:t xml:space="preserve"> du Jumelage (CRJ) sera basé</w:t>
      </w:r>
      <w:r>
        <w:rPr>
          <w:sz w:val="24"/>
          <w:szCs w:val="24"/>
          <w:lang w:eastAsia="en-GB"/>
        </w:rPr>
        <w:t xml:space="preserve"> (e) </w:t>
      </w:r>
      <w:r w:rsidRPr="00155AEB">
        <w:rPr>
          <w:sz w:val="24"/>
          <w:szCs w:val="24"/>
          <w:lang w:eastAsia="en-GB"/>
        </w:rPr>
        <w:t xml:space="preserve"> à temps </w:t>
      </w:r>
      <w:r>
        <w:rPr>
          <w:sz w:val="24"/>
          <w:szCs w:val="24"/>
          <w:lang w:eastAsia="en-GB"/>
        </w:rPr>
        <w:t xml:space="preserve">plein </w:t>
      </w:r>
      <w:r w:rsidRPr="00155AEB">
        <w:rPr>
          <w:sz w:val="24"/>
          <w:szCs w:val="24"/>
          <w:lang w:eastAsia="en-GB"/>
        </w:rPr>
        <w:t>au Maroc pendant toute la durée du projet, soit 24 mois :</w:t>
      </w:r>
    </w:p>
    <w:p w:rsidR="00AC6567" w:rsidRPr="00155AEB" w:rsidRDefault="00AC6567" w:rsidP="00483478">
      <w:pPr>
        <w:autoSpaceDE w:val="0"/>
        <w:autoSpaceDN w:val="0"/>
        <w:adjustRightInd w:val="0"/>
        <w:spacing w:before="120" w:after="120" w:line="240" w:lineRule="auto"/>
        <w:jc w:val="both"/>
        <w:rPr>
          <w:i/>
          <w:iCs/>
          <w:sz w:val="24"/>
          <w:szCs w:val="24"/>
        </w:rPr>
      </w:pPr>
      <w:r w:rsidRPr="00155AEB">
        <w:rPr>
          <w:i/>
          <w:iCs/>
          <w:sz w:val="24"/>
          <w:szCs w:val="24"/>
        </w:rPr>
        <w:t>Le profil du CRJ :</w:t>
      </w:r>
    </w:p>
    <w:p w:rsidR="00AC6567" w:rsidRPr="00155AEB" w:rsidRDefault="00AC6567" w:rsidP="00AC6F89">
      <w:pPr>
        <w:numPr>
          <w:ilvl w:val="0"/>
          <w:numId w:val="33"/>
        </w:numPr>
        <w:tabs>
          <w:tab w:val="num" w:pos="900"/>
        </w:tabs>
        <w:spacing w:before="120" w:after="120" w:line="240" w:lineRule="auto"/>
        <w:jc w:val="both"/>
        <w:rPr>
          <w:sz w:val="24"/>
          <w:szCs w:val="24"/>
          <w:lang w:eastAsia="fr-FR"/>
        </w:rPr>
      </w:pPr>
      <w:r w:rsidRPr="00155AEB">
        <w:rPr>
          <w:sz w:val="24"/>
          <w:szCs w:val="24"/>
          <w:lang w:eastAsia="fr-FR"/>
        </w:rPr>
        <w:t>Le</w:t>
      </w:r>
      <w:r>
        <w:rPr>
          <w:sz w:val="24"/>
          <w:szCs w:val="24"/>
          <w:lang w:eastAsia="fr-FR"/>
        </w:rPr>
        <w:t>/la</w:t>
      </w:r>
      <w:r w:rsidRPr="00155AEB">
        <w:rPr>
          <w:sz w:val="24"/>
          <w:szCs w:val="24"/>
          <w:lang w:eastAsia="fr-FR"/>
        </w:rPr>
        <w:t xml:space="preserve"> conseiller résident de jumelage sera un fonctionnaire de conception et d’encadrement supérieur jouissant d’une bonne expérience de la coopération de l’UE, de préférence en matière de jumelage et/ou avec les pays MEDA ; </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Formation universitaire avec des connaissances solides de la législation du domaine spécifié;</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Un minimum de trois ans d’expérience professionnelle dans le domaine de l’eau dans l’UE (Acquis de l’UE et législations nationales) et son application;</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Connaissance approfondie des Directives de l’UE Cadre sur l’Eau et des meilleures pratiques applicables dans les Etats membres en matière de gouvernance du secteur de l’eau ;</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Connaissance pratique de la transposition des lois de l’UE dans les législations nationales ;</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Expérience en matière de formation des cadres dans le secteur de l’eau fortement souhaitable ;</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 xml:space="preserve">Dynamisme et autorité personnelle au sein de l’Administration contractante suffisante pour mobiliser l’expertise nécessaire et animer une équipe d’experts à </w:t>
      </w:r>
      <w:r>
        <w:rPr>
          <w:sz w:val="24"/>
          <w:szCs w:val="24"/>
          <w:lang w:eastAsia="en-GB"/>
        </w:rPr>
        <w:t>court terme</w:t>
      </w:r>
      <w:r w:rsidRPr="00155AEB">
        <w:rPr>
          <w:sz w:val="24"/>
          <w:szCs w:val="24"/>
          <w:lang w:eastAsia="en-GB"/>
        </w:rPr>
        <w:t xml:space="preserve"> de haut niveau ainsi que de réaliser tous les résultats attendus ;</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Excellentes aptitudes en matière de communication écrite et orale ;</w:t>
      </w:r>
    </w:p>
    <w:p w:rsidR="00AC6567" w:rsidRPr="00155AEB" w:rsidRDefault="00AC6567" w:rsidP="00AC6F89">
      <w:pPr>
        <w:numPr>
          <w:ilvl w:val="0"/>
          <w:numId w:val="33"/>
        </w:numPr>
        <w:spacing w:before="120" w:after="120" w:line="240" w:lineRule="auto"/>
        <w:jc w:val="both"/>
        <w:rPr>
          <w:sz w:val="24"/>
          <w:szCs w:val="24"/>
          <w:lang w:eastAsia="en-GB"/>
        </w:rPr>
      </w:pPr>
      <w:r w:rsidRPr="00155AEB">
        <w:rPr>
          <w:sz w:val="24"/>
          <w:szCs w:val="24"/>
          <w:lang w:eastAsia="en-GB"/>
        </w:rPr>
        <w:t xml:space="preserve"> Excellente maîtrise de la langue française parlée et écrite.</w:t>
      </w:r>
    </w:p>
    <w:p w:rsidR="00AC6567" w:rsidRPr="00155AEB" w:rsidRDefault="00AC6567" w:rsidP="00483478">
      <w:pPr>
        <w:tabs>
          <w:tab w:val="right" w:pos="900"/>
        </w:tabs>
        <w:spacing w:before="120" w:after="120" w:line="240" w:lineRule="auto"/>
        <w:jc w:val="both"/>
        <w:rPr>
          <w:sz w:val="24"/>
          <w:szCs w:val="24"/>
          <w:lang w:eastAsia="en-GB"/>
        </w:rPr>
      </w:pPr>
    </w:p>
    <w:p w:rsidR="00AC6567" w:rsidRPr="00155AEB" w:rsidRDefault="00AC6567" w:rsidP="00483478">
      <w:pPr>
        <w:tabs>
          <w:tab w:val="right" w:pos="900"/>
        </w:tabs>
        <w:spacing w:before="120" w:after="120" w:line="240" w:lineRule="auto"/>
        <w:jc w:val="both"/>
        <w:rPr>
          <w:i/>
          <w:iCs/>
          <w:sz w:val="24"/>
          <w:szCs w:val="24"/>
          <w:lang w:eastAsia="en-GB"/>
        </w:rPr>
      </w:pPr>
      <w:r w:rsidRPr="00155AEB">
        <w:rPr>
          <w:i/>
          <w:iCs/>
          <w:sz w:val="24"/>
          <w:szCs w:val="24"/>
          <w:lang w:eastAsia="en-GB"/>
        </w:rPr>
        <w:t>Les tâches du CRJ :</w:t>
      </w:r>
    </w:p>
    <w:p w:rsidR="00AC6567" w:rsidRPr="00155AEB" w:rsidRDefault="00AC6567" w:rsidP="00AC6F89">
      <w:pPr>
        <w:numPr>
          <w:ilvl w:val="0"/>
          <w:numId w:val="34"/>
        </w:numPr>
        <w:spacing w:before="120" w:after="120" w:line="240" w:lineRule="auto"/>
        <w:jc w:val="both"/>
        <w:rPr>
          <w:sz w:val="24"/>
          <w:szCs w:val="24"/>
          <w:lang w:eastAsia="fr-FR"/>
        </w:rPr>
      </w:pPr>
      <w:r w:rsidRPr="00155AEB">
        <w:rPr>
          <w:sz w:val="24"/>
          <w:szCs w:val="24"/>
          <w:lang w:eastAsia="fr-FR"/>
        </w:rPr>
        <w:t>Gestion au jour le jour de la coordination et du progrès de la mise en œuvre des activités du projet ;</w:t>
      </w:r>
    </w:p>
    <w:p w:rsidR="00AC6567" w:rsidRPr="00155AEB" w:rsidRDefault="00AC6567" w:rsidP="00AC6F89">
      <w:pPr>
        <w:numPr>
          <w:ilvl w:val="0"/>
          <w:numId w:val="34"/>
        </w:numPr>
        <w:spacing w:before="120" w:after="120" w:line="240" w:lineRule="auto"/>
        <w:jc w:val="both"/>
        <w:rPr>
          <w:sz w:val="24"/>
          <w:szCs w:val="24"/>
          <w:lang w:eastAsia="fr-FR"/>
        </w:rPr>
      </w:pPr>
      <w:r w:rsidRPr="00155AEB">
        <w:rPr>
          <w:sz w:val="24"/>
          <w:szCs w:val="24"/>
          <w:lang w:eastAsia="fr-FR"/>
        </w:rPr>
        <w:t>Apport d’inputs techniques dans certains domaines du projet, en particulier en matière de transposition de l’Acquis de l’UE ;</w:t>
      </w:r>
    </w:p>
    <w:p w:rsidR="00AC6567" w:rsidRPr="00155AEB" w:rsidRDefault="00AC6567" w:rsidP="00AC6F89">
      <w:pPr>
        <w:numPr>
          <w:ilvl w:val="0"/>
          <w:numId w:val="34"/>
        </w:numPr>
        <w:spacing w:before="120" w:after="120" w:line="240" w:lineRule="auto"/>
        <w:jc w:val="both"/>
        <w:rPr>
          <w:sz w:val="24"/>
          <w:szCs w:val="24"/>
          <w:lang w:eastAsia="fr-FR"/>
        </w:rPr>
      </w:pPr>
      <w:r w:rsidRPr="00155AEB">
        <w:rPr>
          <w:sz w:val="24"/>
          <w:szCs w:val="24"/>
          <w:lang w:eastAsia="fr-FR"/>
        </w:rPr>
        <w:t>Assurer la liaison avec son chef de projet et avec l’homologue du CRJ dans l’administration bénéficiaire ;</w:t>
      </w:r>
    </w:p>
    <w:p w:rsidR="00AC6567" w:rsidRPr="00155AEB" w:rsidRDefault="00AC6567" w:rsidP="00AC6F89">
      <w:pPr>
        <w:numPr>
          <w:ilvl w:val="0"/>
          <w:numId w:val="34"/>
        </w:numPr>
        <w:spacing w:before="120" w:after="120" w:line="240" w:lineRule="auto"/>
        <w:jc w:val="both"/>
        <w:rPr>
          <w:sz w:val="24"/>
          <w:szCs w:val="24"/>
          <w:lang w:eastAsia="fr-FR"/>
        </w:rPr>
      </w:pPr>
      <w:r w:rsidRPr="00155AEB">
        <w:rPr>
          <w:sz w:val="24"/>
          <w:szCs w:val="24"/>
          <w:lang w:eastAsia="fr-FR"/>
        </w:rPr>
        <w:t>Contribuer à la rédaction des rapports du projet.</w:t>
      </w:r>
    </w:p>
    <w:p w:rsidR="00AC6567" w:rsidRDefault="00AC6567" w:rsidP="00483478">
      <w:pPr>
        <w:autoSpaceDE w:val="0"/>
        <w:autoSpaceDN w:val="0"/>
        <w:adjustRightInd w:val="0"/>
        <w:spacing w:before="120" w:after="120" w:line="240" w:lineRule="auto"/>
        <w:rPr>
          <w:b/>
          <w:bCs/>
          <w:sz w:val="24"/>
          <w:szCs w:val="24"/>
        </w:rPr>
      </w:pPr>
    </w:p>
    <w:p w:rsidR="00AC6567" w:rsidRPr="00155AEB" w:rsidRDefault="00AC6567" w:rsidP="00483478">
      <w:pPr>
        <w:autoSpaceDE w:val="0"/>
        <w:autoSpaceDN w:val="0"/>
        <w:adjustRightInd w:val="0"/>
        <w:spacing w:before="120" w:after="120" w:line="240" w:lineRule="auto"/>
        <w:rPr>
          <w:sz w:val="24"/>
          <w:szCs w:val="24"/>
        </w:rPr>
      </w:pPr>
      <w:r w:rsidRPr="00155AEB">
        <w:rPr>
          <w:b/>
          <w:bCs/>
          <w:sz w:val="24"/>
          <w:szCs w:val="24"/>
        </w:rPr>
        <w:t>3.5.3 Profil et tâches des experts à court-terme</w:t>
      </w:r>
      <w:r w:rsidRPr="00155AEB">
        <w:rPr>
          <w:sz w:val="24"/>
          <w:szCs w:val="24"/>
        </w:rPr>
        <w:t> </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Le</w:t>
      </w:r>
      <w:r>
        <w:rPr>
          <w:sz w:val="24"/>
          <w:szCs w:val="24"/>
        </w:rPr>
        <w:t>/La</w:t>
      </w:r>
      <w:r w:rsidRPr="00155AEB">
        <w:rPr>
          <w:sz w:val="24"/>
          <w:szCs w:val="24"/>
        </w:rPr>
        <w:t xml:space="preserve"> CRJ sera assisté</w:t>
      </w:r>
      <w:r>
        <w:rPr>
          <w:sz w:val="24"/>
          <w:szCs w:val="24"/>
        </w:rPr>
        <w:t xml:space="preserve"> (e) </w:t>
      </w:r>
      <w:r w:rsidRPr="00155AEB">
        <w:rPr>
          <w:sz w:val="24"/>
          <w:szCs w:val="24"/>
        </w:rPr>
        <w:t xml:space="preserve"> par des experts court-terme afin que le spectre entier de l’expertise requise soit couvert. Ceux-ci seront des experts qualifiés capables de fournir les compétences nécessaires à l’accomplissement des activités du projet.</w:t>
      </w:r>
    </w:p>
    <w:p w:rsidR="00AC6567" w:rsidRPr="00155AEB" w:rsidRDefault="00AC6567" w:rsidP="00483478">
      <w:pPr>
        <w:autoSpaceDE w:val="0"/>
        <w:autoSpaceDN w:val="0"/>
        <w:adjustRightInd w:val="0"/>
        <w:spacing w:before="120" w:after="120" w:line="240" w:lineRule="auto"/>
        <w:rPr>
          <w:i/>
          <w:iCs/>
          <w:sz w:val="24"/>
          <w:szCs w:val="24"/>
        </w:rPr>
      </w:pPr>
      <w:r w:rsidRPr="00155AEB">
        <w:rPr>
          <w:i/>
          <w:iCs/>
          <w:sz w:val="24"/>
          <w:szCs w:val="24"/>
        </w:rPr>
        <w:t>Le profil des experts à court-termes:</w:t>
      </w:r>
    </w:p>
    <w:p w:rsidR="00AC6567" w:rsidRPr="00155AEB" w:rsidRDefault="00AC6567" w:rsidP="00AC6F89">
      <w:pPr>
        <w:pStyle w:val="ListParagraph"/>
        <w:numPr>
          <w:ilvl w:val="0"/>
          <w:numId w:val="35"/>
        </w:numPr>
        <w:autoSpaceDE w:val="0"/>
        <w:autoSpaceDN w:val="0"/>
        <w:adjustRightInd w:val="0"/>
        <w:spacing w:before="120" w:after="120" w:line="240" w:lineRule="auto"/>
        <w:rPr>
          <w:sz w:val="24"/>
          <w:szCs w:val="24"/>
        </w:rPr>
      </w:pPr>
      <w:r w:rsidRPr="00155AEB">
        <w:rPr>
          <w:sz w:val="24"/>
          <w:szCs w:val="24"/>
        </w:rPr>
        <w:t>Un diplôme universitaire (Bac + 5) dans un domaine compatible avec son intervention</w:t>
      </w:r>
      <w:r>
        <w:rPr>
          <w:sz w:val="24"/>
          <w:szCs w:val="24"/>
        </w:rPr>
        <w:t xml:space="preserve"> ou une expérience professionnel dans ces domaines d'au moins 10 ans</w:t>
      </w:r>
      <w:r w:rsidRPr="00C06CEF">
        <w:rPr>
          <w:sz w:val="24"/>
          <w:szCs w:val="24"/>
        </w:rPr>
        <w:t> ;</w:t>
      </w:r>
      <w:r>
        <w:rPr>
          <w:sz w:val="24"/>
          <w:szCs w:val="24"/>
        </w:rPr>
        <w:t> </w:t>
      </w:r>
    </w:p>
    <w:p w:rsidR="00AC6567" w:rsidRPr="00155AEB" w:rsidRDefault="00AC6567" w:rsidP="00AC6F89">
      <w:pPr>
        <w:pStyle w:val="ListParagraph"/>
        <w:numPr>
          <w:ilvl w:val="0"/>
          <w:numId w:val="35"/>
        </w:numPr>
        <w:autoSpaceDE w:val="0"/>
        <w:autoSpaceDN w:val="0"/>
        <w:adjustRightInd w:val="0"/>
        <w:spacing w:before="120" w:after="120" w:line="240" w:lineRule="auto"/>
        <w:rPr>
          <w:sz w:val="24"/>
          <w:szCs w:val="24"/>
        </w:rPr>
      </w:pPr>
      <w:r w:rsidRPr="00155AEB">
        <w:rPr>
          <w:sz w:val="24"/>
          <w:szCs w:val="24"/>
        </w:rPr>
        <w:t>Un minimum de 5 ans d’expérience professionnelle dans leur domaine spécifique ;</w:t>
      </w:r>
    </w:p>
    <w:p w:rsidR="00AC6567" w:rsidRPr="00155AEB" w:rsidRDefault="00AC6567" w:rsidP="00AC6F89">
      <w:pPr>
        <w:pStyle w:val="ListParagraph"/>
        <w:numPr>
          <w:ilvl w:val="0"/>
          <w:numId w:val="35"/>
        </w:numPr>
        <w:autoSpaceDE w:val="0"/>
        <w:autoSpaceDN w:val="0"/>
        <w:adjustRightInd w:val="0"/>
        <w:spacing w:before="120" w:after="120" w:line="240" w:lineRule="auto"/>
        <w:rPr>
          <w:sz w:val="24"/>
          <w:szCs w:val="24"/>
        </w:rPr>
      </w:pPr>
      <w:r>
        <w:rPr>
          <w:sz w:val="24"/>
          <w:szCs w:val="24"/>
        </w:rPr>
        <w:t>De préférence u</w:t>
      </w:r>
      <w:r w:rsidRPr="00155AEB">
        <w:rPr>
          <w:sz w:val="24"/>
          <w:szCs w:val="24"/>
        </w:rPr>
        <w:t xml:space="preserve">ne expérience en </w:t>
      </w:r>
      <w:r>
        <w:rPr>
          <w:sz w:val="24"/>
          <w:szCs w:val="24"/>
        </w:rPr>
        <w:t xml:space="preserve">tant qu'expert dans le cadre de la </w:t>
      </w:r>
      <w:r w:rsidRPr="00155AEB">
        <w:rPr>
          <w:sz w:val="24"/>
          <w:szCs w:val="24"/>
        </w:rPr>
        <w:t>mise en œuvre de projets de coopération pour le développement ;</w:t>
      </w:r>
    </w:p>
    <w:p w:rsidR="00AC6567" w:rsidRPr="00155AEB" w:rsidRDefault="00AC6567" w:rsidP="00AC6F89">
      <w:pPr>
        <w:pStyle w:val="ListParagraph"/>
        <w:numPr>
          <w:ilvl w:val="0"/>
          <w:numId w:val="35"/>
        </w:numPr>
        <w:autoSpaceDE w:val="0"/>
        <w:autoSpaceDN w:val="0"/>
        <w:adjustRightInd w:val="0"/>
        <w:spacing w:before="120" w:after="120" w:line="240" w:lineRule="auto"/>
        <w:rPr>
          <w:sz w:val="24"/>
          <w:szCs w:val="24"/>
        </w:rPr>
      </w:pPr>
      <w:r w:rsidRPr="00155AEB">
        <w:rPr>
          <w:sz w:val="24"/>
          <w:szCs w:val="24"/>
        </w:rPr>
        <w:t>Une excellente maîtrise de la langue française</w:t>
      </w:r>
      <w:r>
        <w:rPr>
          <w:sz w:val="24"/>
          <w:szCs w:val="24"/>
        </w:rPr>
        <w:t xml:space="preserve"> constitue un atout</w:t>
      </w:r>
      <w:r w:rsidRPr="00155AEB">
        <w:rPr>
          <w:sz w:val="24"/>
          <w:szCs w:val="24"/>
        </w:rPr>
        <w:t>.</w:t>
      </w:r>
    </w:p>
    <w:p w:rsidR="00AC6567" w:rsidRPr="00155AEB" w:rsidRDefault="00AC6567" w:rsidP="00483478">
      <w:pPr>
        <w:autoSpaceDE w:val="0"/>
        <w:autoSpaceDN w:val="0"/>
        <w:adjustRightInd w:val="0"/>
        <w:spacing w:before="120" w:after="120" w:line="240" w:lineRule="auto"/>
        <w:rPr>
          <w:i/>
          <w:iCs/>
          <w:sz w:val="24"/>
          <w:szCs w:val="24"/>
        </w:rPr>
      </w:pPr>
      <w:r w:rsidRPr="00155AEB">
        <w:rPr>
          <w:i/>
          <w:iCs/>
          <w:sz w:val="24"/>
          <w:szCs w:val="24"/>
        </w:rPr>
        <w:t>Les tâches des experts court-terme :</w:t>
      </w:r>
    </w:p>
    <w:p w:rsidR="00AC6567" w:rsidRPr="00155AEB" w:rsidRDefault="00AC6567" w:rsidP="00AC6F89">
      <w:pPr>
        <w:pStyle w:val="ListParagraph"/>
        <w:numPr>
          <w:ilvl w:val="0"/>
          <w:numId w:val="36"/>
        </w:numPr>
        <w:autoSpaceDE w:val="0"/>
        <w:autoSpaceDN w:val="0"/>
        <w:adjustRightInd w:val="0"/>
        <w:spacing w:before="120" w:after="120" w:line="240" w:lineRule="auto"/>
        <w:jc w:val="both"/>
        <w:rPr>
          <w:sz w:val="24"/>
          <w:szCs w:val="24"/>
        </w:rPr>
      </w:pPr>
      <w:r w:rsidRPr="00155AEB">
        <w:rPr>
          <w:sz w:val="24"/>
          <w:szCs w:val="24"/>
        </w:rPr>
        <w:t>Fournir des inputs techniques dans des domaines spécifiques de la mise en œuvre du projet, y compris l’organisation d’ateliers de formation, de coaching, la rédaction de supports pédagogiques et de matériaux méthodologiques suivant les termes de références rédigés par le CRJ avant le début de chaque mission ;</w:t>
      </w:r>
    </w:p>
    <w:p w:rsidR="00AC6567" w:rsidRPr="00155AEB" w:rsidRDefault="00AC6567" w:rsidP="00AC6F89">
      <w:pPr>
        <w:pStyle w:val="ListParagraph"/>
        <w:numPr>
          <w:ilvl w:val="0"/>
          <w:numId w:val="36"/>
        </w:numPr>
        <w:autoSpaceDE w:val="0"/>
        <w:autoSpaceDN w:val="0"/>
        <w:adjustRightInd w:val="0"/>
        <w:spacing w:before="120" w:after="120" w:line="240" w:lineRule="auto"/>
        <w:jc w:val="both"/>
        <w:rPr>
          <w:sz w:val="24"/>
          <w:szCs w:val="24"/>
        </w:rPr>
      </w:pPr>
      <w:r w:rsidRPr="00155AEB">
        <w:rPr>
          <w:sz w:val="24"/>
          <w:szCs w:val="24"/>
        </w:rPr>
        <w:t>Assurer la liaison avec le CRJ, l’homologue du CRJ et le chef de composante du côté de l’administration bénéficiaire ;</w:t>
      </w:r>
    </w:p>
    <w:p w:rsidR="00AC6567" w:rsidRPr="00155AEB" w:rsidRDefault="00AC6567" w:rsidP="00AC6F89">
      <w:pPr>
        <w:pStyle w:val="ListParagraph"/>
        <w:numPr>
          <w:ilvl w:val="0"/>
          <w:numId w:val="36"/>
        </w:numPr>
        <w:autoSpaceDE w:val="0"/>
        <w:autoSpaceDN w:val="0"/>
        <w:adjustRightInd w:val="0"/>
        <w:spacing w:before="120" w:after="120" w:line="240" w:lineRule="auto"/>
        <w:jc w:val="both"/>
        <w:rPr>
          <w:sz w:val="24"/>
          <w:szCs w:val="24"/>
        </w:rPr>
      </w:pPr>
      <w:r w:rsidRPr="00155AEB">
        <w:rPr>
          <w:sz w:val="24"/>
          <w:szCs w:val="24"/>
        </w:rPr>
        <w:t>Rapporter au CRJ</w:t>
      </w:r>
      <w:r>
        <w:rPr>
          <w:sz w:val="24"/>
          <w:szCs w:val="24"/>
        </w:rPr>
        <w:t xml:space="preserve"> (obligation de présenter un rapport d'activité à la fin de chaque mission)</w:t>
      </w:r>
      <w:r w:rsidRPr="00155AEB">
        <w:rPr>
          <w:sz w:val="24"/>
          <w:szCs w:val="24"/>
        </w:rPr>
        <w:t>.</w:t>
      </w:r>
    </w:p>
    <w:p w:rsidR="00AC6567" w:rsidRPr="00155AEB" w:rsidRDefault="00AC6567" w:rsidP="00483478">
      <w:pPr>
        <w:pStyle w:val="ListParagraph"/>
        <w:autoSpaceDE w:val="0"/>
        <w:autoSpaceDN w:val="0"/>
        <w:adjustRightInd w:val="0"/>
        <w:spacing w:before="120" w:after="120" w:line="240" w:lineRule="auto"/>
        <w:jc w:val="both"/>
        <w:rPr>
          <w:sz w:val="24"/>
          <w:szCs w:val="24"/>
        </w:rPr>
      </w:pP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4. Cadre institutionnel</w:t>
      </w:r>
    </w:p>
    <w:p w:rsidR="00AC6567" w:rsidRPr="00B510C2" w:rsidRDefault="00AC6567" w:rsidP="004E0DF6">
      <w:pPr>
        <w:spacing w:before="120" w:after="120"/>
        <w:jc w:val="both"/>
        <w:rPr>
          <w:sz w:val="24"/>
          <w:szCs w:val="24"/>
        </w:rPr>
      </w:pPr>
      <w:r w:rsidRPr="00B510C2">
        <w:rPr>
          <w:sz w:val="24"/>
          <w:szCs w:val="24"/>
        </w:rPr>
        <w:t xml:space="preserve">Le cadre institutionnel visé par le présent projet est décrit au point 3.1.2. </w:t>
      </w:r>
    </w:p>
    <w:p w:rsidR="00AC6567" w:rsidRPr="00B510C2" w:rsidRDefault="00AC6567" w:rsidP="004E0DF6">
      <w:pPr>
        <w:spacing w:before="120" w:after="120"/>
        <w:jc w:val="both"/>
        <w:rPr>
          <w:sz w:val="24"/>
          <w:szCs w:val="24"/>
        </w:rPr>
      </w:pPr>
      <w:r w:rsidRPr="00B510C2">
        <w:rPr>
          <w:sz w:val="24"/>
          <w:szCs w:val="24"/>
        </w:rPr>
        <w:t xml:space="preserve">Le jumelage, financé par l'Union européenne, s’inscrit dans le cadre du Programme Réussir le Statut Avancé (RSA), tel que géré par le Ministère de l’Economie et des Finances en partenariat avec  le Ministère des Affaires Etrangères et de la Coopération et le Secrétariat Général du Gouvernement. </w:t>
      </w:r>
    </w:p>
    <w:p w:rsidR="00AC6567" w:rsidRPr="00B510C2" w:rsidRDefault="00AC6567" w:rsidP="004E0DF6">
      <w:pPr>
        <w:spacing w:before="120" w:after="120"/>
        <w:jc w:val="both"/>
        <w:rPr>
          <w:sz w:val="24"/>
          <w:szCs w:val="24"/>
        </w:rPr>
      </w:pPr>
      <w:r w:rsidRPr="00B510C2">
        <w:rPr>
          <w:sz w:val="24"/>
          <w:szCs w:val="24"/>
        </w:rPr>
        <w:t xml:space="preserve">Le Ministère de l’Economie et des Finances du Royaume du Maroc est le pouvoir adjudicateur. </w:t>
      </w:r>
    </w:p>
    <w:p w:rsidR="00AC6567" w:rsidRPr="00B510C2" w:rsidRDefault="00AC6567" w:rsidP="004E0DF6">
      <w:pPr>
        <w:tabs>
          <w:tab w:val="num" w:pos="360"/>
        </w:tabs>
        <w:spacing w:before="120" w:after="120" w:line="240" w:lineRule="auto"/>
        <w:jc w:val="both"/>
        <w:rPr>
          <w:sz w:val="24"/>
          <w:szCs w:val="24"/>
          <w:lang w:eastAsia="fr-FR"/>
        </w:rPr>
      </w:pPr>
      <w:r w:rsidRPr="00B510C2">
        <w:rPr>
          <w:sz w:val="24"/>
          <w:szCs w:val="24"/>
          <w:lang w:eastAsia="fr-FR"/>
        </w:rPr>
        <w:t xml:space="preserve">Le bénéficiaire du jumelage est </w:t>
      </w:r>
      <w:r w:rsidRPr="00B510C2">
        <w:rPr>
          <w:color w:val="000000"/>
          <w:sz w:val="24"/>
          <w:szCs w:val="24"/>
        </w:rPr>
        <w:t>la Direction de la Recherche et de la Planification de l’Eau (DRPE)</w:t>
      </w:r>
      <w:r w:rsidRPr="00B510C2">
        <w:rPr>
          <w:sz w:val="24"/>
          <w:szCs w:val="24"/>
          <w:lang w:eastAsia="fr-FR"/>
        </w:rPr>
        <w:t xml:space="preserve"> Les bénéficiaires indirects du jumelage seront les bassins hydrauliques, les universités, la société civile. </w:t>
      </w:r>
    </w:p>
    <w:p w:rsidR="00AC6567" w:rsidRPr="00B510C2" w:rsidRDefault="00AC6567" w:rsidP="00483478">
      <w:pPr>
        <w:tabs>
          <w:tab w:val="num" w:pos="360"/>
        </w:tabs>
        <w:spacing w:before="120" w:after="120" w:line="240" w:lineRule="auto"/>
        <w:jc w:val="both"/>
        <w:rPr>
          <w:sz w:val="24"/>
          <w:szCs w:val="24"/>
          <w:lang w:eastAsia="fr-FR"/>
        </w:rPr>
      </w:pPr>
    </w:p>
    <w:p w:rsidR="00AC6567" w:rsidRPr="00B510C2" w:rsidRDefault="00AC6567" w:rsidP="004E0DF6">
      <w:pPr>
        <w:tabs>
          <w:tab w:val="num" w:pos="360"/>
        </w:tabs>
        <w:spacing w:before="120" w:after="120"/>
        <w:jc w:val="both"/>
        <w:rPr>
          <w:sz w:val="24"/>
          <w:szCs w:val="24"/>
        </w:rPr>
      </w:pPr>
      <w:r w:rsidRPr="00B510C2">
        <w:rPr>
          <w:sz w:val="24"/>
          <w:szCs w:val="24"/>
        </w:rPr>
        <w:t xml:space="preserve">Tel que prévu par la Convention de financement du RSA, la Cellule d'accompagnement au Programme (CAP-RSA), créée par le Ministère de l’économie et des finances (MEF) et placée au cœur de la Direction du trésor des finances extérieures, au sein de la Division des relations avec l’Europe (DRE), est en charge de l'accompagnement de la mise en œuvre du programme. </w:t>
      </w:r>
    </w:p>
    <w:p w:rsidR="00AC6567" w:rsidRPr="00B510C2" w:rsidRDefault="00AC6567" w:rsidP="004E0DF6">
      <w:pPr>
        <w:tabs>
          <w:tab w:val="num" w:pos="360"/>
        </w:tabs>
        <w:spacing w:before="120" w:after="120"/>
        <w:jc w:val="both"/>
        <w:rPr>
          <w:sz w:val="24"/>
          <w:szCs w:val="24"/>
        </w:rPr>
      </w:pPr>
      <w:r w:rsidRPr="00B510C2">
        <w:rPr>
          <w:sz w:val="24"/>
          <w:szCs w:val="24"/>
        </w:rPr>
        <w:t>Quant à la préparation, suivi et mise en œuvre des jumelages institutionnels, la convention de financement du RSA indique qu'ils sont confiés à l'</w:t>
      </w:r>
      <w:r>
        <w:rPr>
          <w:sz w:val="24"/>
          <w:szCs w:val="24"/>
        </w:rPr>
        <w:t>U</w:t>
      </w:r>
      <w:r w:rsidRPr="00B510C2">
        <w:rPr>
          <w:sz w:val="24"/>
          <w:szCs w:val="24"/>
        </w:rPr>
        <w:t>nité d'</w:t>
      </w:r>
      <w:r>
        <w:rPr>
          <w:sz w:val="24"/>
          <w:szCs w:val="24"/>
        </w:rPr>
        <w:t>A</w:t>
      </w:r>
      <w:r w:rsidRPr="00B510C2">
        <w:rPr>
          <w:sz w:val="24"/>
          <w:szCs w:val="24"/>
        </w:rPr>
        <w:t xml:space="preserve">ppui aux </w:t>
      </w:r>
      <w:r>
        <w:rPr>
          <w:sz w:val="24"/>
          <w:szCs w:val="24"/>
        </w:rPr>
        <w:t>P</w:t>
      </w:r>
      <w:r w:rsidRPr="00B510C2">
        <w:rPr>
          <w:sz w:val="24"/>
          <w:szCs w:val="24"/>
        </w:rPr>
        <w:t xml:space="preserve">rogrammes d'Appui à la mise en œuvre de l'Accord d'Association (P3A), sous la tutelle du Ministère des Affaires Etrangères et de la Coopération. </w:t>
      </w: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5. Budget</w:t>
      </w:r>
    </w:p>
    <w:p w:rsidR="00AC6567" w:rsidRPr="00155AEB" w:rsidRDefault="00AC6567" w:rsidP="00483478">
      <w:pPr>
        <w:autoSpaceDE w:val="0"/>
        <w:autoSpaceDN w:val="0"/>
        <w:adjustRightInd w:val="0"/>
        <w:spacing w:before="120" w:after="120" w:line="240" w:lineRule="auto"/>
        <w:rPr>
          <w:sz w:val="24"/>
          <w:szCs w:val="24"/>
        </w:rPr>
      </w:pPr>
      <w:r w:rsidRPr="00155AEB">
        <w:rPr>
          <w:sz w:val="24"/>
          <w:szCs w:val="24"/>
        </w:rPr>
        <w:t xml:space="preserve">Le budget total maximum disponible pour cette action est </w:t>
      </w:r>
      <w:r w:rsidRPr="00CD4573">
        <w:rPr>
          <w:sz w:val="24"/>
          <w:szCs w:val="24"/>
        </w:rPr>
        <w:t>1 </w:t>
      </w:r>
      <w:r>
        <w:rPr>
          <w:sz w:val="24"/>
          <w:szCs w:val="24"/>
        </w:rPr>
        <w:t>15</w:t>
      </w:r>
      <w:r w:rsidRPr="00CD4573">
        <w:rPr>
          <w:sz w:val="24"/>
          <w:szCs w:val="24"/>
        </w:rPr>
        <w:t>0 000</w:t>
      </w:r>
      <w:r w:rsidRPr="00CD4573">
        <w:rPr>
          <w:sz w:val="12"/>
          <w:szCs w:val="12"/>
        </w:rPr>
        <w:t xml:space="preserve"> </w:t>
      </w:r>
      <w:r w:rsidRPr="00CD4573">
        <w:rPr>
          <w:sz w:val="24"/>
          <w:szCs w:val="24"/>
        </w:rPr>
        <w:t xml:space="preserve">€ </w:t>
      </w:r>
      <w:r>
        <w:rPr>
          <w:sz w:val="24"/>
          <w:szCs w:val="24"/>
        </w:rPr>
        <w:t>.</w:t>
      </w:r>
    </w:p>
    <w:p w:rsidR="00AC6567" w:rsidRDefault="00AC6567" w:rsidP="00483478">
      <w:pPr>
        <w:autoSpaceDE w:val="0"/>
        <w:autoSpaceDN w:val="0"/>
        <w:adjustRightInd w:val="0"/>
        <w:spacing w:before="120" w:after="120" w:line="240" w:lineRule="auto"/>
        <w:rPr>
          <w:b/>
          <w:bCs/>
          <w:sz w:val="24"/>
          <w:szCs w:val="24"/>
        </w:rPr>
      </w:pP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6. Modalités de mise en œuvre</w:t>
      </w:r>
    </w:p>
    <w:p w:rsidR="00AC6567" w:rsidRDefault="00AC6567" w:rsidP="00483478">
      <w:pPr>
        <w:autoSpaceDE w:val="0"/>
        <w:autoSpaceDN w:val="0"/>
        <w:adjustRightInd w:val="0"/>
        <w:spacing w:before="120" w:after="120" w:line="240" w:lineRule="auto"/>
        <w:rPr>
          <w:b/>
          <w:bCs/>
          <w:sz w:val="24"/>
          <w:szCs w:val="24"/>
        </w:rPr>
      </w:pPr>
      <w:r w:rsidRPr="00155AEB">
        <w:rPr>
          <w:b/>
          <w:bCs/>
          <w:sz w:val="24"/>
          <w:szCs w:val="24"/>
        </w:rPr>
        <w:t>6.1 Organisme de mise en œuvre</w:t>
      </w:r>
    </w:p>
    <w:p w:rsidR="00AC6567" w:rsidRPr="00B510C2" w:rsidRDefault="00AC6567" w:rsidP="00B510C2">
      <w:pPr>
        <w:pStyle w:val="Default"/>
        <w:jc w:val="both"/>
        <w:rPr>
          <w:rFonts w:cs="Calibri"/>
        </w:rPr>
      </w:pPr>
      <w:r w:rsidRPr="00B510C2">
        <w:rPr>
          <w:rFonts w:cs="Calibri"/>
        </w:rPr>
        <w:t>Conformément à la convention de financement du programme RSA la préparation et le suivi de la mise en œuvre des jumelages est confié à l’unité d’appui aux programmes d’Appui à la mise en œuvre de l’Accord d’Association (UAP-P3A), sous la tutelle du ministère des affaires étrangers et de la coopération ».</w:t>
      </w:r>
    </w:p>
    <w:p w:rsidR="00AC6567" w:rsidRPr="00B510C2" w:rsidRDefault="00AC6567" w:rsidP="00B510C2">
      <w:pPr>
        <w:autoSpaceDE w:val="0"/>
        <w:autoSpaceDN w:val="0"/>
        <w:adjustRightInd w:val="0"/>
        <w:spacing w:before="120" w:after="120" w:line="240" w:lineRule="auto"/>
        <w:jc w:val="both"/>
        <w:rPr>
          <w:b/>
          <w:bCs/>
          <w:sz w:val="24"/>
          <w:szCs w:val="24"/>
        </w:rPr>
      </w:pPr>
      <w:r w:rsidRPr="00B510C2">
        <w:rPr>
          <w:b/>
          <w:bCs/>
          <w:sz w:val="24"/>
          <w:szCs w:val="24"/>
        </w:rPr>
        <w:t xml:space="preserve"> </w:t>
      </w:r>
      <w:r w:rsidRPr="00B510C2">
        <w:rPr>
          <w:sz w:val="24"/>
          <w:szCs w:val="24"/>
        </w:rPr>
        <w:t>L’UAP assure la mise en œuvre des procédures de jumelage du programme RSA en coordination avec la CAP-RSA (Ministère de l'Economie et des Finances). L’UAP sera l’organe responsable pour la gestion de ce jumelage dans le respect des dispositions de la convention de financement du programme RSA. Elle gèrera également les appels à propositions, les contrats, et ce dans le respect des procédures de contrôle décentralisé ex-ante définies dans le guide pratique des procédures contractuelles financées par le budget général des Communautés européennes dans le cadre des actions extérieures.</w:t>
      </w:r>
    </w:p>
    <w:p w:rsidR="00AC6567" w:rsidRPr="00155AEB" w:rsidRDefault="00AC6567" w:rsidP="00483478">
      <w:pPr>
        <w:pStyle w:val="Default"/>
        <w:spacing w:before="120" w:after="120"/>
        <w:rPr>
          <w:rFonts w:cs="Calibri"/>
        </w:rPr>
      </w:pPr>
      <w:r w:rsidRPr="00155AEB">
        <w:rPr>
          <w:rFonts w:cs="Calibri"/>
        </w:rPr>
        <w:t xml:space="preserve">Personnes de contact à l’UAP : </w:t>
      </w:r>
    </w:p>
    <w:p w:rsidR="00AC6567" w:rsidRPr="00155AEB" w:rsidRDefault="00AC6567" w:rsidP="00483478">
      <w:pPr>
        <w:pStyle w:val="Default"/>
        <w:spacing w:before="120" w:after="120"/>
        <w:rPr>
          <w:rFonts w:cs="Calibri"/>
        </w:rPr>
      </w:pPr>
      <w:r w:rsidRPr="00155AEB">
        <w:rPr>
          <w:rFonts w:cs="Calibri"/>
        </w:rPr>
        <w:t>M. Kamal EL MAHDAOUI – Directeur de l’UAP</w:t>
      </w:r>
    </w:p>
    <w:p w:rsidR="00AC6567" w:rsidRPr="00155AEB" w:rsidRDefault="00AC6567" w:rsidP="00483478">
      <w:pPr>
        <w:pStyle w:val="Default"/>
        <w:spacing w:before="120" w:after="120"/>
        <w:rPr>
          <w:rFonts w:cs="Calibri"/>
        </w:rPr>
      </w:pPr>
      <w:r w:rsidRPr="00155AEB">
        <w:rPr>
          <w:rFonts w:cs="Calibri"/>
        </w:rPr>
        <w:t>22, rue de Teflet – Quartier de la résidence - Rabat</w:t>
      </w:r>
    </w:p>
    <w:p w:rsidR="00AC6567" w:rsidRPr="00155AEB" w:rsidRDefault="00AC6567" w:rsidP="00483478">
      <w:pPr>
        <w:pStyle w:val="Default"/>
        <w:spacing w:before="120" w:after="120"/>
        <w:rPr>
          <w:rFonts w:cs="Calibri"/>
        </w:rPr>
      </w:pPr>
      <w:r w:rsidRPr="00155AEB">
        <w:rPr>
          <w:rFonts w:cs="Calibri"/>
        </w:rPr>
        <w:t xml:space="preserve">Tél. : (+212) - 0537- 76.80.04 </w:t>
      </w:r>
    </w:p>
    <w:p w:rsidR="00AC6567" w:rsidRPr="00155AEB" w:rsidRDefault="00AC6567" w:rsidP="00483478">
      <w:pPr>
        <w:pStyle w:val="Default"/>
        <w:spacing w:before="120" w:after="120"/>
        <w:rPr>
          <w:rFonts w:cs="Calibri"/>
        </w:rPr>
      </w:pPr>
      <w:r w:rsidRPr="00155AEB">
        <w:rPr>
          <w:rFonts w:cs="Calibri"/>
        </w:rPr>
        <w:t xml:space="preserve">Fax : (+212) - 0537-76.52.33 </w:t>
      </w:r>
    </w:p>
    <w:p w:rsidR="00AC6567" w:rsidRDefault="00AC6567" w:rsidP="00483478">
      <w:pPr>
        <w:pStyle w:val="Default"/>
        <w:spacing w:before="120" w:after="120"/>
        <w:rPr>
          <w:rFonts w:cs="Calibri"/>
        </w:rPr>
      </w:pPr>
      <w:r w:rsidRPr="00155AEB">
        <w:rPr>
          <w:rFonts w:cs="Calibri"/>
        </w:rPr>
        <w:t xml:space="preserve">E-mail: </w:t>
      </w:r>
      <w:hyperlink r:id="rId11" w:history="1">
        <w:r w:rsidRPr="00660225">
          <w:rPr>
            <w:rStyle w:val="Hyperlink"/>
            <w:rFonts w:cs="Calibri"/>
          </w:rPr>
          <w:t>elmahdaoui@maec.gov.ma</w:t>
        </w:r>
      </w:hyperlink>
    </w:p>
    <w:p w:rsidR="00AC6567" w:rsidRPr="00155AEB" w:rsidRDefault="00AC6567" w:rsidP="00483478">
      <w:pPr>
        <w:pStyle w:val="Default"/>
        <w:spacing w:before="120" w:after="120"/>
        <w:rPr>
          <w:rFonts w:cs="Calibri"/>
        </w:rPr>
      </w:pPr>
    </w:p>
    <w:p w:rsidR="00AC6567" w:rsidRPr="00155AEB" w:rsidRDefault="00AC6567" w:rsidP="00483478">
      <w:pPr>
        <w:autoSpaceDE w:val="0"/>
        <w:autoSpaceDN w:val="0"/>
        <w:adjustRightInd w:val="0"/>
        <w:spacing w:before="120" w:after="120" w:line="240" w:lineRule="auto"/>
        <w:rPr>
          <w:sz w:val="24"/>
          <w:szCs w:val="24"/>
        </w:rPr>
      </w:pPr>
      <w:r w:rsidRPr="00155AEB">
        <w:rPr>
          <w:b/>
          <w:bCs/>
          <w:sz w:val="24"/>
          <w:szCs w:val="24"/>
        </w:rPr>
        <w:t>6.2 Principal organisme homologue dans le pays bénéficiaire </w:t>
      </w:r>
      <w:r w:rsidRPr="00155AEB">
        <w:rPr>
          <w:sz w:val="24"/>
          <w:szCs w:val="24"/>
        </w:rPr>
        <w:t>:</w:t>
      </w:r>
    </w:p>
    <w:p w:rsidR="00AC6567" w:rsidRPr="00155AEB" w:rsidRDefault="00AC6567" w:rsidP="00483478">
      <w:pPr>
        <w:overflowPunct w:val="0"/>
        <w:autoSpaceDE w:val="0"/>
        <w:autoSpaceDN w:val="0"/>
        <w:adjustRightInd w:val="0"/>
        <w:spacing w:before="120" w:after="120" w:line="240" w:lineRule="auto"/>
        <w:jc w:val="both"/>
        <w:textAlignment w:val="baseline"/>
        <w:rPr>
          <w:sz w:val="24"/>
          <w:szCs w:val="24"/>
          <w:lang w:eastAsia="fr-FR"/>
        </w:rPr>
      </w:pPr>
      <w:r w:rsidRPr="00155AEB">
        <w:rPr>
          <w:sz w:val="24"/>
          <w:szCs w:val="24"/>
          <w:lang w:eastAsia="fr-FR"/>
        </w:rPr>
        <w:t xml:space="preserve">La responsabilité pour les aspects techniques relatifs à la préparation, la mise en œuvre et la supervision relève </w:t>
      </w:r>
      <w:r w:rsidRPr="00155AEB">
        <w:rPr>
          <w:color w:val="000000"/>
          <w:sz w:val="24"/>
          <w:szCs w:val="24"/>
        </w:rPr>
        <w:t>la Direction de la Recherche et de la Planification de l’Eau (DRPE)</w:t>
      </w:r>
      <w:r w:rsidRPr="00155AEB">
        <w:rPr>
          <w:sz w:val="24"/>
          <w:szCs w:val="24"/>
          <w:lang w:eastAsia="fr-FR"/>
        </w:rPr>
        <w:t>.</w:t>
      </w:r>
    </w:p>
    <w:p w:rsidR="00AC6567" w:rsidRPr="00844931" w:rsidRDefault="00AC6567" w:rsidP="00AC6F89">
      <w:pPr>
        <w:pStyle w:val="ListParagraph"/>
        <w:numPr>
          <w:ilvl w:val="2"/>
          <w:numId w:val="2"/>
        </w:numPr>
        <w:spacing w:before="120" w:after="120" w:line="240" w:lineRule="auto"/>
        <w:ind w:hanging="1080"/>
        <w:jc w:val="both"/>
        <w:rPr>
          <w:sz w:val="24"/>
          <w:szCs w:val="24"/>
          <w:lang w:val="sv-SE" w:eastAsia="fr-FR"/>
        </w:rPr>
      </w:pPr>
      <w:r w:rsidRPr="00844931">
        <w:rPr>
          <w:b/>
          <w:bCs/>
          <w:sz w:val="24"/>
          <w:szCs w:val="24"/>
          <w:lang w:val="sv-SE" w:eastAsia="fr-FR"/>
        </w:rPr>
        <w:t>Chef de projet</w:t>
      </w:r>
      <w:r w:rsidRPr="00844931">
        <w:rPr>
          <w:sz w:val="24"/>
          <w:szCs w:val="24"/>
          <w:lang w:val="sv-SE" w:eastAsia="fr-FR"/>
        </w:rPr>
        <w:t> : M. Abdelkader Benomar</w:t>
      </w:r>
    </w:p>
    <w:p w:rsidR="00AC6567" w:rsidRPr="00155AEB" w:rsidRDefault="00AC6567" w:rsidP="00483478">
      <w:pPr>
        <w:pStyle w:val="ListParagraph"/>
        <w:spacing w:before="120" w:after="120" w:line="240" w:lineRule="auto"/>
        <w:ind w:left="1080"/>
        <w:jc w:val="both"/>
        <w:rPr>
          <w:sz w:val="24"/>
          <w:szCs w:val="24"/>
          <w:lang w:eastAsia="fr-FR"/>
        </w:rPr>
      </w:pPr>
      <w:r w:rsidRPr="00155AEB">
        <w:rPr>
          <w:sz w:val="24"/>
          <w:szCs w:val="24"/>
          <w:lang w:eastAsia="fr-FR"/>
        </w:rPr>
        <w:t xml:space="preserve">Directeur de la Direction de la recherche et de la planification de l’eau, Département de l’eau. </w:t>
      </w:r>
    </w:p>
    <w:p w:rsidR="00AC6567" w:rsidRPr="00844931" w:rsidRDefault="00AC6567" w:rsidP="00483478">
      <w:pPr>
        <w:spacing w:before="120" w:after="120" w:line="240" w:lineRule="auto"/>
        <w:ind w:left="360"/>
        <w:rPr>
          <w:sz w:val="24"/>
          <w:szCs w:val="24"/>
          <w:lang w:val="da-DK" w:eastAsia="fr-FR"/>
        </w:rPr>
      </w:pPr>
      <w:r w:rsidRPr="00844931">
        <w:rPr>
          <w:sz w:val="24"/>
          <w:szCs w:val="24"/>
          <w:lang w:val="da-DK" w:eastAsia="fr-FR"/>
        </w:rPr>
        <w:t>Adresse : Rue Idris Al Akbar, B.P. 4500 – Hassan – Rabat – Maroc</w:t>
      </w:r>
    </w:p>
    <w:p w:rsidR="00AC6567" w:rsidRPr="00155AEB" w:rsidRDefault="00AC6567" w:rsidP="00483478">
      <w:pPr>
        <w:spacing w:before="120" w:after="120" w:line="240" w:lineRule="auto"/>
        <w:ind w:left="1260" w:hanging="900"/>
        <w:jc w:val="both"/>
        <w:rPr>
          <w:sz w:val="24"/>
          <w:szCs w:val="24"/>
          <w:lang w:eastAsia="fr-FR"/>
        </w:rPr>
      </w:pPr>
      <w:r w:rsidRPr="00155AEB">
        <w:rPr>
          <w:sz w:val="24"/>
          <w:szCs w:val="24"/>
          <w:lang w:eastAsia="fr-FR"/>
        </w:rPr>
        <w:t>Mission : Dirige</w:t>
      </w:r>
      <w:r>
        <w:rPr>
          <w:sz w:val="24"/>
          <w:szCs w:val="24"/>
          <w:lang w:eastAsia="fr-FR"/>
        </w:rPr>
        <w:t>r</w:t>
      </w:r>
      <w:r w:rsidRPr="00155AEB">
        <w:rPr>
          <w:sz w:val="24"/>
          <w:szCs w:val="24"/>
          <w:lang w:eastAsia="fr-FR"/>
        </w:rPr>
        <w:t xml:space="preserve"> la mise en œuvre du projet de jumelage en concertation avec son homologue le Chef de Projet de l’État Membre (EM).</w:t>
      </w:r>
    </w:p>
    <w:p w:rsidR="00AC6567" w:rsidRPr="00155AEB" w:rsidRDefault="00AC6567" w:rsidP="00483478">
      <w:pPr>
        <w:spacing w:before="120" w:after="120" w:line="240" w:lineRule="auto"/>
        <w:ind w:left="360"/>
        <w:jc w:val="both"/>
        <w:rPr>
          <w:sz w:val="24"/>
          <w:szCs w:val="24"/>
          <w:lang w:eastAsia="fr-FR"/>
        </w:rPr>
      </w:pPr>
    </w:p>
    <w:p w:rsidR="00AC6567" w:rsidRPr="00155AEB" w:rsidRDefault="00AC6567" w:rsidP="00AC6F89">
      <w:pPr>
        <w:pStyle w:val="ListParagraph"/>
        <w:numPr>
          <w:ilvl w:val="2"/>
          <w:numId w:val="2"/>
        </w:numPr>
        <w:spacing w:before="120" w:after="120" w:line="240" w:lineRule="auto"/>
        <w:ind w:hanging="1080"/>
        <w:jc w:val="both"/>
        <w:rPr>
          <w:sz w:val="24"/>
          <w:szCs w:val="24"/>
          <w:lang w:eastAsia="fr-FR"/>
        </w:rPr>
      </w:pPr>
      <w:r w:rsidRPr="00155AEB">
        <w:rPr>
          <w:b/>
          <w:bCs/>
          <w:sz w:val="24"/>
          <w:szCs w:val="24"/>
          <w:lang w:eastAsia="fr-FR"/>
        </w:rPr>
        <w:t>Homologue du CRJ</w:t>
      </w:r>
      <w:r w:rsidRPr="00155AEB">
        <w:rPr>
          <w:sz w:val="24"/>
          <w:szCs w:val="24"/>
          <w:lang w:eastAsia="fr-FR"/>
        </w:rPr>
        <w:t xml:space="preserve"> : Mme. Naziha Chakrouni </w:t>
      </w:r>
    </w:p>
    <w:p w:rsidR="00AC6567" w:rsidRPr="00155AEB" w:rsidRDefault="00AC6567" w:rsidP="00483478">
      <w:pPr>
        <w:pStyle w:val="ListParagraph"/>
        <w:spacing w:before="120" w:after="120" w:line="240" w:lineRule="auto"/>
        <w:ind w:left="1080"/>
        <w:jc w:val="both"/>
        <w:rPr>
          <w:sz w:val="24"/>
          <w:szCs w:val="24"/>
          <w:lang w:eastAsia="fr-FR"/>
        </w:rPr>
      </w:pPr>
      <w:r w:rsidRPr="00155AEB">
        <w:rPr>
          <w:sz w:val="24"/>
          <w:szCs w:val="24"/>
          <w:lang w:eastAsia="fr-FR"/>
        </w:rPr>
        <w:t>Chef du Service des études juridiques</w:t>
      </w:r>
      <w:r w:rsidRPr="00155AEB">
        <w:rPr>
          <w:sz w:val="24"/>
          <w:szCs w:val="24"/>
        </w:rPr>
        <w:t xml:space="preserve"> de la </w:t>
      </w:r>
      <w:r w:rsidRPr="00155AEB">
        <w:rPr>
          <w:sz w:val="24"/>
          <w:szCs w:val="24"/>
          <w:lang w:eastAsia="fr-FR"/>
        </w:rPr>
        <w:t>Direction de la recherche et de la planification de l’eau, Département de l’eau</w:t>
      </w:r>
    </w:p>
    <w:p w:rsidR="00AC6567" w:rsidRPr="00844931" w:rsidRDefault="00AC6567" w:rsidP="00483478">
      <w:pPr>
        <w:spacing w:before="120" w:after="120" w:line="240" w:lineRule="auto"/>
        <w:ind w:left="1260" w:hanging="900"/>
        <w:jc w:val="both"/>
        <w:rPr>
          <w:sz w:val="24"/>
          <w:szCs w:val="24"/>
          <w:lang w:val="da-DK" w:eastAsia="fr-FR"/>
        </w:rPr>
      </w:pPr>
      <w:r w:rsidRPr="00844931">
        <w:rPr>
          <w:sz w:val="24"/>
          <w:szCs w:val="24"/>
          <w:lang w:val="da-DK" w:eastAsia="fr-FR"/>
        </w:rPr>
        <w:t>Adresse : Rue Idris Al Akbar, B.P. 4500 – Hassan – Rabat – Maroc</w:t>
      </w:r>
    </w:p>
    <w:p w:rsidR="00AC6567" w:rsidRDefault="00AC6567" w:rsidP="00483478">
      <w:pPr>
        <w:spacing w:before="120" w:after="120" w:line="240" w:lineRule="auto"/>
        <w:ind w:left="1260" w:hanging="900"/>
        <w:jc w:val="both"/>
        <w:rPr>
          <w:sz w:val="24"/>
          <w:szCs w:val="24"/>
          <w:lang w:eastAsia="fr-FR"/>
        </w:rPr>
      </w:pPr>
      <w:r w:rsidRPr="00155AEB">
        <w:rPr>
          <w:sz w:val="24"/>
          <w:szCs w:val="24"/>
          <w:lang w:eastAsia="fr-FR"/>
        </w:rPr>
        <w:t>Mission : Point focal chargé de l’identification et de la formulation du projet, interlocuteur officiel susceptible d’être consulté pour toutes les activités de jumelage prévues et homologue principal du CRJ pendant toute la période de jumelage.</w:t>
      </w:r>
    </w:p>
    <w:p w:rsidR="00AC6567" w:rsidRPr="00155AEB" w:rsidRDefault="00AC6567" w:rsidP="00AC6F89">
      <w:pPr>
        <w:pStyle w:val="ListParagraph"/>
        <w:numPr>
          <w:ilvl w:val="2"/>
          <w:numId w:val="2"/>
        </w:numPr>
        <w:autoSpaceDE w:val="0"/>
        <w:autoSpaceDN w:val="0"/>
        <w:adjustRightInd w:val="0"/>
        <w:spacing w:before="120" w:after="120" w:line="240" w:lineRule="auto"/>
        <w:ind w:hanging="1080"/>
        <w:rPr>
          <w:b/>
          <w:bCs/>
          <w:sz w:val="24"/>
          <w:szCs w:val="24"/>
        </w:rPr>
      </w:pPr>
      <w:r w:rsidRPr="00155AEB">
        <w:rPr>
          <w:b/>
          <w:bCs/>
          <w:sz w:val="24"/>
          <w:szCs w:val="24"/>
        </w:rPr>
        <w:t xml:space="preserve">Le Comité de pilotage : </w:t>
      </w:r>
    </w:p>
    <w:p w:rsidR="00AC6567" w:rsidRPr="00693063" w:rsidRDefault="00AC6567" w:rsidP="00483478">
      <w:pPr>
        <w:autoSpaceDE w:val="0"/>
        <w:autoSpaceDN w:val="0"/>
        <w:adjustRightInd w:val="0"/>
        <w:spacing w:before="120" w:after="120" w:line="240" w:lineRule="auto"/>
        <w:jc w:val="both"/>
        <w:rPr>
          <w:sz w:val="24"/>
          <w:szCs w:val="24"/>
        </w:rPr>
      </w:pPr>
      <w:r w:rsidRPr="00155AEB">
        <w:rPr>
          <w:sz w:val="24"/>
          <w:szCs w:val="24"/>
        </w:rPr>
        <w:t xml:space="preserve">Le Comité de pilotage du projet (CoPIL), comprendra les représentants de la DRPE, les représentants de l’UAP-P3A et ceux de la CAP-RSA, et sera établit dès le commencement du projet. Les représentants de la Délégation de l’UE auprès du Royaume du Maroc </w:t>
      </w:r>
      <w:r w:rsidRPr="00693063">
        <w:rPr>
          <w:sz w:val="24"/>
          <w:szCs w:val="24"/>
        </w:rPr>
        <w:t>participeront aussi aux réunions de ce CoPIL.</w:t>
      </w:r>
    </w:p>
    <w:p w:rsidR="00AC6567" w:rsidRPr="00693063" w:rsidRDefault="00AC6567" w:rsidP="002E721E">
      <w:pPr>
        <w:spacing w:before="120" w:after="120"/>
        <w:jc w:val="both"/>
        <w:rPr>
          <w:sz w:val="24"/>
          <w:szCs w:val="24"/>
        </w:rPr>
      </w:pPr>
      <w:r w:rsidRPr="00693063">
        <w:rPr>
          <w:sz w:val="24"/>
          <w:szCs w:val="24"/>
        </w:rPr>
        <w:t xml:space="preserve">Le CoPIL sera établi pour le pilotage, le contrôle et la supervision des activités du projet et de ses résultats obligatoires, pour assurer la bonne gouvernance du jumelage tout au long de sa durée et pour que les activités de jumelage puissent se dérouler de manière efficace. Des réunions régulières du Comité de pilotage seront organisées chaque trimestre, lors de ces réunions, ces membres procéderons à l’évaluation des progrès du projet, vérifierons la réalisation des livrables et discuterons de toute question pouvant avoir un effet sur la bonne marche du projet. </w:t>
      </w:r>
    </w:p>
    <w:p w:rsidR="00AC6567" w:rsidRPr="00693063" w:rsidRDefault="00AC6567" w:rsidP="00483478">
      <w:pPr>
        <w:autoSpaceDE w:val="0"/>
        <w:autoSpaceDN w:val="0"/>
        <w:adjustRightInd w:val="0"/>
        <w:spacing w:before="120" w:after="120" w:line="240" w:lineRule="auto"/>
        <w:rPr>
          <w:b/>
          <w:bCs/>
          <w:sz w:val="24"/>
          <w:szCs w:val="24"/>
        </w:rPr>
      </w:pPr>
      <w:r w:rsidRPr="00693063">
        <w:rPr>
          <w:b/>
          <w:bCs/>
          <w:sz w:val="24"/>
          <w:szCs w:val="24"/>
        </w:rPr>
        <w:t>6.3 Contrats </w:t>
      </w:r>
    </w:p>
    <w:p w:rsidR="00AC6567" w:rsidRDefault="00AC6567" w:rsidP="00483478">
      <w:pPr>
        <w:autoSpaceDE w:val="0"/>
        <w:autoSpaceDN w:val="0"/>
        <w:adjustRightInd w:val="0"/>
        <w:spacing w:before="120" w:after="120" w:line="240" w:lineRule="auto"/>
        <w:rPr>
          <w:b/>
          <w:bCs/>
          <w:sz w:val="24"/>
          <w:szCs w:val="24"/>
        </w:rPr>
      </w:pPr>
      <w:r w:rsidRPr="00155AEB">
        <w:rPr>
          <w:sz w:val="24"/>
          <w:szCs w:val="24"/>
        </w:rPr>
        <w:t>Un seul contrat de jumelage est prévu pour ce projet.</w:t>
      </w: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 xml:space="preserve">7. Calendrier de mise en œuvre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07"/>
        <w:gridCol w:w="4171"/>
      </w:tblGrid>
      <w:tr w:rsidR="00AC6567" w:rsidRPr="00AF0FFA">
        <w:tc>
          <w:tcPr>
            <w:tcW w:w="5069" w:type="dxa"/>
            <w:shd w:val="clear" w:color="auto" w:fill="548DD4"/>
          </w:tcPr>
          <w:p w:rsidR="00AC6567" w:rsidRPr="00AF0FFA" w:rsidRDefault="00AC6567" w:rsidP="00483478">
            <w:pPr>
              <w:autoSpaceDE w:val="0"/>
              <w:autoSpaceDN w:val="0"/>
              <w:adjustRightInd w:val="0"/>
              <w:spacing w:before="120" w:after="120" w:line="240" w:lineRule="auto"/>
              <w:jc w:val="both"/>
              <w:rPr>
                <w:sz w:val="24"/>
                <w:szCs w:val="24"/>
              </w:rPr>
            </w:pPr>
            <w:r w:rsidRPr="00AF0FFA">
              <w:rPr>
                <w:sz w:val="24"/>
                <w:szCs w:val="24"/>
              </w:rPr>
              <w:t>Action</w:t>
            </w:r>
          </w:p>
        </w:tc>
        <w:tc>
          <w:tcPr>
            <w:tcW w:w="4217" w:type="dxa"/>
            <w:shd w:val="clear" w:color="auto" w:fill="548DD4"/>
          </w:tcPr>
          <w:p w:rsidR="00AC6567" w:rsidRPr="00AF0FFA" w:rsidRDefault="00AC6567" w:rsidP="00483478">
            <w:pPr>
              <w:autoSpaceDE w:val="0"/>
              <w:autoSpaceDN w:val="0"/>
              <w:adjustRightInd w:val="0"/>
              <w:spacing w:before="120" w:after="120" w:line="240" w:lineRule="auto"/>
              <w:jc w:val="both"/>
              <w:rPr>
                <w:sz w:val="24"/>
                <w:szCs w:val="24"/>
              </w:rPr>
            </w:pPr>
            <w:r w:rsidRPr="00AF0FFA">
              <w:rPr>
                <w:sz w:val="24"/>
                <w:szCs w:val="24"/>
              </w:rPr>
              <w:t xml:space="preserve">Date </w:t>
            </w:r>
          </w:p>
        </w:tc>
      </w:tr>
      <w:tr w:rsidR="00AC6567" w:rsidRPr="00AF0FFA">
        <w:tc>
          <w:tcPr>
            <w:tcW w:w="5069" w:type="dxa"/>
          </w:tcPr>
          <w:p w:rsidR="00AC6567" w:rsidRPr="00AF0FFA" w:rsidRDefault="00AC6567" w:rsidP="00693063">
            <w:pPr>
              <w:autoSpaceDE w:val="0"/>
              <w:autoSpaceDN w:val="0"/>
              <w:adjustRightInd w:val="0"/>
              <w:spacing w:before="60" w:after="60" w:line="240" w:lineRule="auto"/>
              <w:jc w:val="both"/>
              <w:rPr>
                <w:sz w:val="24"/>
                <w:szCs w:val="24"/>
              </w:rPr>
            </w:pPr>
            <w:r w:rsidRPr="00AF0FFA">
              <w:rPr>
                <w:sz w:val="24"/>
                <w:szCs w:val="24"/>
              </w:rPr>
              <w:t>Durée du projet</w:t>
            </w:r>
          </w:p>
        </w:tc>
        <w:tc>
          <w:tcPr>
            <w:tcW w:w="4217" w:type="dxa"/>
          </w:tcPr>
          <w:p w:rsidR="00AC6567" w:rsidRPr="00AF0FFA" w:rsidRDefault="00AC6567" w:rsidP="00693063">
            <w:pPr>
              <w:autoSpaceDE w:val="0"/>
              <w:autoSpaceDN w:val="0"/>
              <w:adjustRightInd w:val="0"/>
              <w:spacing w:before="60" w:after="60" w:line="240" w:lineRule="auto"/>
              <w:jc w:val="both"/>
              <w:rPr>
                <w:sz w:val="24"/>
                <w:szCs w:val="24"/>
              </w:rPr>
            </w:pPr>
            <w:r w:rsidRPr="00AF0FFA">
              <w:rPr>
                <w:sz w:val="24"/>
                <w:szCs w:val="24"/>
              </w:rPr>
              <w:t>24 mois</w:t>
            </w:r>
          </w:p>
        </w:tc>
      </w:tr>
      <w:tr w:rsidR="00AC6567" w:rsidRPr="00AF0FFA">
        <w:tc>
          <w:tcPr>
            <w:tcW w:w="5069" w:type="dxa"/>
          </w:tcPr>
          <w:p w:rsidR="00AC6567" w:rsidRPr="00AF0FFA" w:rsidRDefault="00AC6567" w:rsidP="00693063">
            <w:pPr>
              <w:spacing w:before="60" w:after="60" w:line="240" w:lineRule="auto"/>
              <w:jc w:val="both"/>
              <w:rPr>
                <w:sz w:val="24"/>
                <w:szCs w:val="24"/>
              </w:rPr>
            </w:pPr>
            <w:r w:rsidRPr="00AF0FFA">
              <w:rPr>
                <w:sz w:val="24"/>
                <w:szCs w:val="24"/>
              </w:rPr>
              <w:t>Lancement de l’appel à propositions</w:t>
            </w:r>
          </w:p>
        </w:tc>
        <w:tc>
          <w:tcPr>
            <w:tcW w:w="4217" w:type="dxa"/>
          </w:tcPr>
          <w:p w:rsidR="00AC6567" w:rsidRPr="00AF0FFA" w:rsidRDefault="00AC6567" w:rsidP="00693063">
            <w:pPr>
              <w:spacing w:before="60" w:after="60" w:line="240" w:lineRule="auto"/>
              <w:jc w:val="both"/>
              <w:rPr>
                <w:sz w:val="24"/>
                <w:szCs w:val="24"/>
              </w:rPr>
            </w:pPr>
            <w:r w:rsidRPr="00AF0FFA">
              <w:rPr>
                <w:sz w:val="24"/>
                <w:szCs w:val="24"/>
              </w:rPr>
              <w:t>Juillet 2014</w:t>
            </w:r>
          </w:p>
        </w:tc>
      </w:tr>
      <w:tr w:rsidR="00AC6567" w:rsidRPr="00AF0FFA">
        <w:tc>
          <w:tcPr>
            <w:tcW w:w="5069" w:type="dxa"/>
          </w:tcPr>
          <w:p w:rsidR="00AC6567" w:rsidRPr="00AF0FFA" w:rsidRDefault="00AC6567" w:rsidP="00693063">
            <w:pPr>
              <w:spacing w:before="60" w:after="60" w:line="240" w:lineRule="auto"/>
              <w:jc w:val="both"/>
              <w:rPr>
                <w:sz w:val="24"/>
                <w:szCs w:val="24"/>
              </w:rPr>
            </w:pPr>
            <w:r w:rsidRPr="00AF0FFA">
              <w:rPr>
                <w:sz w:val="24"/>
                <w:szCs w:val="24"/>
              </w:rPr>
              <w:t>Réception des propositions</w:t>
            </w:r>
          </w:p>
        </w:tc>
        <w:tc>
          <w:tcPr>
            <w:tcW w:w="4217" w:type="dxa"/>
          </w:tcPr>
          <w:p w:rsidR="00AC6567" w:rsidRPr="00AF0FFA" w:rsidRDefault="00AC6567" w:rsidP="00693063">
            <w:pPr>
              <w:spacing w:before="60" w:after="60" w:line="240" w:lineRule="auto"/>
              <w:jc w:val="both"/>
              <w:rPr>
                <w:sz w:val="24"/>
                <w:szCs w:val="24"/>
              </w:rPr>
            </w:pPr>
            <w:r w:rsidRPr="00AF0FFA">
              <w:rPr>
                <w:sz w:val="24"/>
                <w:szCs w:val="24"/>
              </w:rPr>
              <w:t>Mi-septembre 2014</w:t>
            </w:r>
          </w:p>
        </w:tc>
      </w:tr>
      <w:tr w:rsidR="00AC6567" w:rsidRPr="00AF0FFA">
        <w:tc>
          <w:tcPr>
            <w:tcW w:w="5069" w:type="dxa"/>
          </w:tcPr>
          <w:p w:rsidR="00AC6567" w:rsidRPr="00AF0FFA" w:rsidRDefault="00AC6567" w:rsidP="00693063">
            <w:pPr>
              <w:spacing w:before="60" w:after="60" w:line="240" w:lineRule="auto"/>
              <w:jc w:val="both"/>
              <w:rPr>
                <w:sz w:val="24"/>
                <w:szCs w:val="24"/>
              </w:rPr>
            </w:pPr>
            <w:r w:rsidRPr="00AF0FFA">
              <w:rPr>
                <w:sz w:val="24"/>
                <w:szCs w:val="24"/>
              </w:rPr>
              <w:t>Notification des Etats membres</w:t>
            </w:r>
          </w:p>
        </w:tc>
        <w:tc>
          <w:tcPr>
            <w:tcW w:w="4217" w:type="dxa"/>
          </w:tcPr>
          <w:p w:rsidR="00AC6567" w:rsidRPr="00AF0FFA" w:rsidRDefault="00AC6567" w:rsidP="00693063">
            <w:pPr>
              <w:spacing w:before="60" w:after="60" w:line="240" w:lineRule="auto"/>
              <w:jc w:val="both"/>
              <w:rPr>
                <w:sz w:val="24"/>
                <w:szCs w:val="24"/>
              </w:rPr>
            </w:pPr>
            <w:r w:rsidRPr="00AF0FFA">
              <w:rPr>
                <w:sz w:val="24"/>
                <w:szCs w:val="24"/>
              </w:rPr>
              <w:t>Mi-octobre 2014</w:t>
            </w:r>
          </w:p>
        </w:tc>
      </w:tr>
      <w:tr w:rsidR="00AC6567" w:rsidRPr="00AF0FFA">
        <w:tc>
          <w:tcPr>
            <w:tcW w:w="5069" w:type="dxa"/>
          </w:tcPr>
          <w:p w:rsidR="00AC6567" w:rsidRPr="00AF0FFA" w:rsidRDefault="00AC6567" w:rsidP="00693063">
            <w:pPr>
              <w:spacing w:before="60" w:after="60" w:line="240" w:lineRule="auto"/>
              <w:jc w:val="both"/>
              <w:rPr>
                <w:sz w:val="24"/>
                <w:szCs w:val="24"/>
              </w:rPr>
            </w:pPr>
            <w:r w:rsidRPr="00AF0FFA">
              <w:rPr>
                <w:sz w:val="24"/>
                <w:szCs w:val="24"/>
              </w:rPr>
              <w:t>Signature du contrat de jumelage</w:t>
            </w:r>
          </w:p>
        </w:tc>
        <w:tc>
          <w:tcPr>
            <w:tcW w:w="4217" w:type="dxa"/>
          </w:tcPr>
          <w:p w:rsidR="00AC6567" w:rsidRPr="00AF0FFA" w:rsidRDefault="00AC6567" w:rsidP="00693063">
            <w:pPr>
              <w:spacing w:before="60" w:after="60" w:line="240" w:lineRule="auto"/>
              <w:jc w:val="both"/>
              <w:rPr>
                <w:sz w:val="24"/>
                <w:szCs w:val="24"/>
              </w:rPr>
            </w:pPr>
            <w:r w:rsidRPr="00AF0FFA">
              <w:rPr>
                <w:sz w:val="24"/>
                <w:szCs w:val="24"/>
              </w:rPr>
              <w:t xml:space="preserve">Janvier /février 2015 </w:t>
            </w:r>
          </w:p>
        </w:tc>
      </w:tr>
      <w:tr w:rsidR="00AC6567" w:rsidRPr="00AF0FFA">
        <w:tc>
          <w:tcPr>
            <w:tcW w:w="5069" w:type="dxa"/>
          </w:tcPr>
          <w:p w:rsidR="00AC6567" w:rsidRPr="00AF0FFA" w:rsidRDefault="00AC6567" w:rsidP="00693063">
            <w:pPr>
              <w:spacing w:before="60" w:after="60" w:line="240" w:lineRule="auto"/>
              <w:jc w:val="both"/>
              <w:rPr>
                <w:sz w:val="24"/>
                <w:szCs w:val="24"/>
              </w:rPr>
            </w:pPr>
            <w:r w:rsidRPr="00AF0FFA">
              <w:rPr>
                <w:sz w:val="24"/>
                <w:szCs w:val="24"/>
              </w:rPr>
              <w:t>Démarrage des activités du projet de jumelage</w:t>
            </w:r>
          </w:p>
        </w:tc>
        <w:tc>
          <w:tcPr>
            <w:tcW w:w="4217" w:type="dxa"/>
          </w:tcPr>
          <w:p w:rsidR="00AC6567" w:rsidRPr="00AF0FFA" w:rsidRDefault="00AC6567" w:rsidP="00693063">
            <w:pPr>
              <w:spacing w:before="60" w:after="60" w:line="240" w:lineRule="auto"/>
              <w:jc w:val="both"/>
              <w:rPr>
                <w:sz w:val="24"/>
                <w:szCs w:val="24"/>
              </w:rPr>
            </w:pPr>
            <w:r w:rsidRPr="00AF0FFA">
              <w:rPr>
                <w:sz w:val="24"/>
                <w:szCs w:val="24"/>
              </w:rPr>
              <w:t>Février/Mars 2015 (mise en œuvre)</w:t>
            </w:r>
          </w:p>
        </w:tc>
      </w:tr>
      <w:tr w:rsidR="00AC6567" w:rsidRPr="00AF0FFA">
        <w:trPr>
          <w:trHeight w:val="395"/>
        </w:trPr>
        <w:tc>
          <w:tcPr>
            <w:tcW w:w="5069" w:type="dxa"/>
          </w:tcPr>
          <w:p w:rsidR="00AC6567" w:rsidRPr="00AF0FFA" w:rsidRDefault="00AC6567" w:rsidP="00693063">
            <w:pPr>
              <w:spacing w:before="60" w:after="60" w:line="240" w:lineRule="auto"/>
              <w:jc w:val="both"/>
              <w:rPr>
                <w:sz w:val="24"/>
                <w:szCs w:val="24"/>
              </w:rPr>
            </w:pPr>
            <w:r w:rsidRPr="00AF0FFA">
              <w:rPr>
                <w:sz w:val="24"/>
                <w:szCs w:val="24"/>
              </w:rPr>
              <w:t>Date de fin du projet</w:t>
            </w:r>
          </w:p>
        </w:tc>
        <w:tc>
          <w:tcPr>
            <w:tcW w:w="4217" w:type="dxa"/>
          </w:tcPr>
          <w:p w:rsidR="00AC6567" w:rsidRPr="00AF0FFA" w:rsidRDefault="00AC6567" w:rsidP="00693063">
            <w:pPr>
              <w:spacing w:before="60" w:after="60" w:line="240" w:lineRule="auto"/>
              <w:jc w:val="both"/>
              <w:rPr>
                <w:sz w:val="24"/>
                <w:szCs w:val="24"/>
              </w:rPr>
            </w:pPr>
            <w:r w:rsidRPr="00AF0FFA">
              <w:rPr>
                <w:sz w:val="24"/>
                <w:szCs w:val="24"/>
              </w:rPr>
              <w:t>Fin février 2017</w:t>
            </w:r>
          </w:p>
        </w:tc>
      </w:tr>
    </w:tbl>
    <w:p w:rsidR="00AC6567" w:rsidRPr="00F36C82" w:rsidRDefault="00AC6567" w:rsidP="007842C8">
      <w:pPr>
        <w:pStyle w:val="Blockquote"/>
        <w:ind w:left="0" w:right="-108"/>
        <w:jc w:val="both"/>
        <w:rPr>
          <w:rFonts w:ascii="Calibri" w:hAnsi="Calibri" w:cs="Calibri"/>
          <w:lang w:val="fr-FR"/>
        </w:rPr>
      </w:pPr>
      <w:r w:rsidRPr="00F36C82">
        <w:rPr>
          <w:rFonts w:ascii="Calibri" w:hAnsi="Calibri" w:cs="Calibri"/>
          <w:color w:val="000000"/>
          <w:lang w:val="fr-FR"/>
        </w:rPr>
        <w:t xml:space="preserve">Les dates proposées dans le calendrier sont données à titre indicatif. Toutefois, </w:t>
      </w:r>
      <w:r w:rsidRPr="00F36C82">
        <w:rPr>
          <w:rFonts w:ascii="Calibri" w:hAnsi="Calibri" w:cs="Calibri"/>
          <w:lang w:val="fr-FR"/>
        </w:rPr>
        <w:t xml:space="preserve">le contrat de jumelage devrait être signé </w:t>
      </w:r>
      <w:r w:rsidRPr="00F36C82">
        <w:rPr>
          <w:rFonts w:ascii="Calibri" w:hAnsi="Calibri" w:cs="Calibri"/>
          <w:b/>
          <w:bCs/>
          <w:lang w:val="fr-FR"/>
        </w:rPr>
        <w:t xml:space="preserve">au plus tard le </w:t>
      </w:r>
      <w:r w:rsidRPr="00F36C82">
        <w:rPr>
          <w:rFonts w:ascii="Calibri" w:hAnsi="Calibri" w:cs="Calibri"/>
          <w:b/>
          <w:bCs/>
          <w:u w:val="single"/>
          <w:lang w:val="fr-FR"/>
        </w:rPr>
        <w:t>23 février 2015</w:t>
      </w:r>
      <w:r w:rsidRPr="00F36C82">
        <w:rPr>
          <w:rFonts w:ascii="Calibri" w:hAnsi="Calibri" w:cs="Calibri"/>
          <w:b/>
          <w:bCs/>
          <w:lang w:val="fr-FR"/>
        </w:rPr>
        <w:t xml:space="preserve">, </w:t>
      </w:r>
      <w:r w:rsidRPr="00F36C82">
        <w:rPr>
          <w:rFonts w:ascii="Calibri" w:hAnsi="Calibri" w:cs="Calibri"/>
          <w:b/>
          <w:bCs/>
          <w:u w:val="single"/>
          <w:lang w:val="fr-FR"/>
        </w:rPr>
        <w:t>date limite de contractualisation des projets financés sous le RSA I</w:t>
      </w:r>
      <w:r w:rsidRPr="00F36C82">
        <w:rPr>
          <w:rFonts w:ascii="Calibri" w:hAnsi="Calibri" w:cs="Calibri"/>
          <w:lang w:val="fr-FR"/>
        </w:rPr>
        <w:t xml:space="preserve">. Au-delà de cette date, le présent projet de jumelage </w:t>
      </w:r>
      <w:r w:rsidRPr="00F36C82">
        <w:rPr>
          <w:rFonts w:ascii="Calibri" w:hAnsi="Calibri" w:cs="Calibri"/>
          <w:b/>
          <w:bCs/>
          <w:u w:val="single"/>
          <w:lang w:val="fr-FR"/>
        </w:rPr>
        <w:t>ne pourra bénéficier d’un financement</w:t>
      </w:r>
      <w:r w:rsidRPr="00F36C82">
        <w:rPr>
          <w:rFonts w:ascii="Calibri" w:hAnsi="Calibri" w:cs="Calibri"/>
          <w:lang w:val="fr-FR"/>
        </w:rPr>
        <w:t xml:space="preserve">. </w:t>
      </w:r>
    </w:p>
    <w:p w:rsidR="00AC6567" w:rsidRDefault="00AC6567" w:rsidP="00483478">
      <w:pPr>
        <w:autoSpaceDE w:val="0"/>
        <w:autoSpaceDN w:val="0"/>
        <w:adjustRightInd w:val="0"/>
        <w:spacing w:before="120" w:after="120" w:line="240" w:lineRule="auto"/>
        <w:rPr>
          <w:b/>
          <w:bCs/>
          <w:sz w:val="24"/>
          <w:szCs w:val="24"/>
        </w:rPr>
      </w:pP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8. Durabilité</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 xml:space="preserve">Les plans d’actions de mise en œuvre de la politique nationale de l’eau du Maroc s’articulent autour de six axes : </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1) La gestion de la demande en eau et la valorisation de l’eau</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2) La gestion et le développement de l’offre</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 xml:space="preserve"> 3) La préservation et la protection des ressources en eau, du milieu naturel et des zones fragiles</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 xml:space="preserve">4) Réduction de la vulnérabilité aux risques naturels liés à l’eau et l’adaptation aux changements climatiques </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5) La poursuite des réformes règlementaires et institutionnelles</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6) Modernisation des systèmes d’information et renforcement des moyens et des compétences</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 xml:space="preserve">Ce projet de jumelage comprend plusieurs composantes de </w:t>
      </w:r>
      <w:r>
        <w:rPr>
          <w:sz w:val="24"/>
          <w:szCs w:val="24"/>
        </w:rPr>
        <w:t xml:space="preserve">renforcement de capacité </w:t>
      </w:r>
      <w:r w:rsidRPr="00155AEB">
        <w:rPr>
          <w:sz w:val="24"/>
          <w:szCs w:val="24"/>
        </w:rPr>
        <w:t xml:space="preserve"> dans le domaine réglementaire et technique du secteur de l’eau</w:t>
      </w:r>
      <w:r>
        <w:rPr>
          <w:sz w:val="24"/>
          <w:szCs w:val="24"/>
        </w:rPr>
        <w:t>, notamment à réaliser avec des sessions de formation et de formation des formateurs</w:t>
      </w:r>
      <w:r w:rsidRPr="00155AEB">
        <w:rPr>
          <w:sz w:val="24"/>
          <w:szCs w:val="24"/>
        </w:rPr>
        <w:t xml:space="preserve">. Ces sessions contribueront non seulement à élever le niveau de professionnalisme des parties prenantes mais aussi permettront une pérennisation des résultats de ce projet dont le plan national de l’eau va en profiter. </w:t>
      </w:r>
    </w:p>
    <w:p w:rsidR="00AC6567" w:rsidRPr="00155AEB" w:rsidRDefault="00AC6567" w:rsidP="00483478">
      <w:pPr>
        <w:autoSpaceDE w:val="0"/>
        <w:autoSpaceDN w:val="0"/>
        <w:adjustRightInd w:val="0"/>
        <w:spacing w:before="120" w:after="120" w:line="240" w:lineRule="auto"/>
        <w:jc w:val="both"/>
        <w:rPr>
          <w:sz w:val="24"/>
          <w:szCs w:val="24"/>
        </w:rPr>
      </w:pPr>
      <w:r w:rsidRPr="00155AEB">
        <w:rPr>
          <w:sz w:val="24"/>
          <w:szCs w:val="24"/>
        </w:rPr>
        <w:t>En effet, ce transfert des meilleures pratiques de l’UE au sein de la Direction bénéficiaire fournira des méthodologies et savoir-faire qui permettront aux bénéficiaires et parties prenantes de diffuser ces compétences et d’actualiser les méthodes et pratiques en usage bien au-delà de la durée de vie de ce projet de jumelage.</w:t>
      </w:r>
    </w:p>
    <w:p w:rsidR="00AC6567" w:rsidRPr="00155AEB" w:rsidRDefault="00AC6567" w:rsidP="00483478">
      <w:pPr>
        <w:autoSpaceDE w:val="0"/>
        <w:autoSpaceDN w:val="0"/>
        <w:adjustRightInd w:val="0"/>
        <w:spacing w:before="120" w:after="120" w:line="240" w:lineRule="auto"/>
        <w:jc w:val="both"/>
        <w:rPr>
          <w:sz w:val="24"/>
          <w:szCs w:val="24"/>
        </w:rPr>
      </w:pPr>
    </w:p>
    <w:p w:rsidR="00AC6567" w:rsidRPr="00155AEB" w:rsidRDefault="00AC6567" w:rsidP="00483478">
      <w:pPr>
        <w:autoSpaceDE w:val="0"/>
        <w:autoSpaceDN w:val="0"/>
        <w:adjustRightInd w:val="0"/>
        <w:spacing w:before="120" w:after="120" w:line="240" w:lineRule="auto"/>
        <w:rPr>
          <w:b/>
          <w:bCs/>
          <w:i/>
          <w:iCs/>
          <w:sz w:val="24"/>
          <w:szCs w:val="24"/>
        </w:rPr>
      </w:pPr>
      <w:r w:rsidRPr="00155AEB">
        <w:rPr>
          <w:b/>
          <w:bCs/>
          <w:sz w:val="24"/>
          <w:szCs w:val="24"/>
        </w:rPr>
        <w:t>9. Questions transversales (égalité des chances, environnement et cofinancement)</w:t>
      </w: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9.1 Egalité des chances</w:t>
      </w:r>
    </w:p>
    <w:p w:rsidR="00AC6567" w:rsidRPr="00155AEB" w:rsidRDefault="00AC6567" w:rsidP="00483478">
      <w:pPr>
        <w:spacing w:before="120" w:after="120" w:line="240" w:lineRule="auto"/>
        <w:jc w:val="both"/>
        <w:rPr>
          <w:sz w:val="24"/>
          <w:szCs w:val="24"/>
          <w:lang w:eastAsia="fr-FR"/>
        </w:rPr>
      </w:pPr>
      <w:r w:rsidRPr="00155AEB">
        <w:rPr>
          <w:sz w:val="24"/>
          <w:szCs w:val="24"/>
          <w:lang w:eastAsia="fr-FR"/>
        </w:rPr>
        <w:t>Dans sa phase d’élaboration, de mise en place et d’exécution, le projet et les membres de son personnel s’engagent au respect du principe de l'égalité des femmes et des hommes, à combattre toute forme de discrimination et d'inégalité basées sur le sexe, par référence à l'état matrimonial ou familial, sur la race, l’origine, la religion, ou l’orientation politique et à élaborer des instruments et stratégies fondées sur une approche intégrée de la dimension du genre et de toutes les autres dimensions.</w:t>
      </w: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9.2 Environnement</w:t>
      </w:r>
    </w:p>
    <w:p w:rsidR="00AC6567" w:rsidRPr="00155AEB" w:rsidRDefault="00AC6567" w:rsidP="00483478">
      <w:pPr>
        <w:spacing w:before="120" w:after="120" w:line="240" w:lineRule="auto"/>
        <w:jc w:val="both"/>
        <w:rPr>
          <w:sz w:val="24"/>
          <w:szCs w:val="24"/>
          <w:lang w:eastAsia="fr-FR"/>
        </w:rPr>
      </w:pPr>
      <w:r w:rsidRPr="00155AEB">
        <w:rPr>
          <w:sz w:val="24"/>
          <w:szCs w:val="24"/>
          <w:lang w:eastAsia="fr-FR"/>
        </w:rPr>
        <w:t>Le projet de jumelage dans sa phase de mise en place s’assurera que les règles environnementales soient à tout moment respectées, que ce soit lors de la modification ou de la rédaction de nouveaux textes législatifs ou lors des formations, jusque dans le choix d’équipements qui veilleront à se conformer aux aspects spécifiques liés à l’environnement.</w:t>
      </w:r>
    </w:p>
    <w:p w:rsidR="00AC6567" w:rsidRPr="00155AEB" w:rsidRDefault="00AC6567" w:rsidP="00483478">
      <w:pPr>
        <w:spacing w:before="120" w:after="120" w:line="240" w:lineRule="auto"/>
        <w:jc w:val="both"/>
        <w:rPr>
          <w:sz w:val="24"/>
          <w:szCs w:val="24"/>
          <w:lang w:eastAsia="fr-FR"/>
        </w:rPr>
      </w:pPr>
      <w:r w:rsidRPr="00155AEB">
        <w:rPr>
          <w:sz w:val="24"/>
          <w:szCs w:val="24"/>
          <w:lang w:eastAsia="fr-FR"/>
        </w:rPr>
        <w:t>Le renforcement des capacités techniques et la mise à niveau avec les acquis européens permettront de disposer d’un outil d’évaluation et de contrôle essentiel dans le domaine de l’environnement et notamment de l’environnement méditerranéen.</w:t>
      </w: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9.3 Cofinancement</w:t>
      </w:r>
    </w:p>
    <w:p w:rsidR="00AC6567" w:rsidRPr="00155AEB" w:rsidRDefault="00AC6567" w:rsidP="00483478">
      <w:pPr>
        <w:autoSpaceDE w:val="0"/>
        <w:autoSpaceDN w:val="0"/>
        <w:adjustRightInd w:val="0"/>
        <w:spacing w:before="120" w:after="120" w:line="240" w:lineRule="auto"/>
        <w:jc w:val="both"/>
        <w:rPr>
          <w:sz w:val="24"/>
          <w:szCs w:val="24"/>
          <w:lang w:eastAsia="fr-FR"/>
        </w:rPr>
      </w:pPr>
      <w:r w:rsidRPr="00155AEB">
        <w:rPr>
          <w:sz w:val="24"/>
          <w:szCs w:val="24"/>
          <w:lang w:eastAsia="fr-FR"/>
        </w:rPr>
        <w:t>Dans le cadre de la mise en œuvre du jumelage, la DRPE mettra à la disposition du Conseiller</w:t>
      </w:r>
      <w:r>
        <w:rPr>
          <w:sz w:val="24"/>
          <w:szCs w:val="24"/>
          <w:lang w:eastAsia="fr-FR"/>
        </w:rPr>
        <w:t xml:space="preserve"> (e) </w:t>
      </w:r>
      <w:r w:rsidRPr="00155AEB">
        <w:rPr>
          <w:sz w:val="24"/>
          <w:szCs w:val="24"/>
          <w:lang w:eastAsia="fr-FR"/>
        </w:rPr>
        <w:t xml:space="preserve"> Résident de Jumelage et de son assistant(e): </w:t>
      </w:r>
    </w:p>
    <w:p w:rsidR="00AC6567" w:rsidRPr="00155AEB" w:rsidRDefault="00AC6567" w:rsidP="00AC6F89">
      <w:pPr>
        <w:numPr>
          <w:ilvl w:val="0"/>
          <w:numId w:val="37"/>
        </w:numPr>
        <w:autoSpaceDE w:val="0"/>
        <w:autoSpaceDN w:val="0"/>
        <w:adjustRightInd w:val="0"/>
        <w:spacing w:before="120" w:after="120" w:line="240" w:lineRule="auto"/>
        <w:jc w:val="both"/>
        <w:rPr>
          <w:sz w:val="24"/>
          <w:szCs w:val="24"/>
          <w:lang w:eastAsia="fr-FR"/>
        </w:rPr>
      </w:pPr>
      <w:r w:rsidRPr="00155AEB">
        <w:rPr>
          <w:sz w:val="24"/>
          <w:szCs w:val="24"/>
          <w:lang w:eastAsia="fr-FR"/>
        </w:rPr>
        <w:t>un bureau équipé à proximité de celui de l’homologue principal avec PC ;</w:t>
      </w:r>
    </w:p>
    <w:p w:rsidR="00AC6567" w:rsidRPr="00155AEB" w:rsidRDefault="00AC6567" w:rsidP="00AC6F89">
      <w:pPr>
        <w:numPr>
          <w:ilvl w:val="0"/>
          <w:numId w:val="37"/>
        </w:numPr>
        <w:autoSpaceDE w:val="0"/>
        <w:autoSpaceDN w:val="0"/>
        <w:adjustRightInd w:val="0"/>
        <w:spacing w:before="120" w:after="120" w:line="240" w:lineRule="auto"/>
        <w:jc w:val="both"/>
        <w:rPr>
          <w:sz w:val="24"/>
          <w:szCs w:val="24"/>
          <w:lang w:eastAsia="fr-FR"/>
        </w:rPr>
      </w:pPr>
      <w:r w:rsidRPr="00155AEB">
        <w:rPr>
          <w:sz w:val="24"/>
          <w:szCs w:val="24"/>
          <w:lang w:eastAsia="fr-FR"/>
        </w:rPr>
        <w:t>téléphone (avec en particulier une ligne internationale), télécopieur et accès à l’Internet ;</w:t>
      </w:r>
    </w:p>
    <w:p w:rsidR="00AC6567" w:rsidRPr="00155AEB" w:rsidRDefault="00AC6567" w:rsidP="00AC6F89">
      <w:pPr>
        <w:numPr>
          <w:ilvl w:val="0"/>
          <w:numId w:val="37"/>
        </w:numPr>
        <w:autoSpaceDE w:val="0"/>
        <w:autoSpaceDN w:val="0"/>
        <w:adjustRightInd w:val="0"/>
        <w:spacing w:before="120" w:after="120" w:line="240" w:lineRule="auto"/>
        <w:jc w:val="both"/>
        <w:rPr>
          <w:sz w:val="24"/>
          <w:szCs w:val="24"/>
          <w:lang w:eastAsia="fr-FR"/>
        </w:rPr>
      </w:pPr>
      <w:r w:rsidRPr="00155AEB">
        <w:rPr>
          <w:sz w:val="24"/>
          <w:szCs w:val="24"/>
          <w:lang w:eastAsia="fr-FR"/>
        </w:rPr>
        <w:t>un bureau sera également mis à la disposition des experts court-terme en mission.</w:t>
      </w:r>
    </w:p>
    <w:p w:rsidR="00AC6567" w:rsidRPr="00155AEB" w:rsidRDefault="00AC6567" w:rsidP="00483478">
      <w:pPr>
        <w:autoSpaceDE w:val="0"/>
        <w:autoSpaceDN w:val="0"/>
        <w:adjustRightInd w:val="0"/>
        <w:spacing w:before="120" w:after="120" w:line="240" w:lineRule="auto"/>
        <w:jc w:val="both"/>
        <w:rPr>
          <w:sz w:val="24"/>
          <w:szCs w:val="24"/>
          <w:lang w:eastAsia="fr-FR"/>
        </w:rPr>
      </w:pPr>
      <w:r w:rsidRPr="00155AEB">
        <w:rPr>
          <w:sz w:val="24"/>
          <w:szCs w:val="24"/>
          <w:lang w:eastAsia="fr-FR"/>
        </w:rPr>
        <w:t xml:space="preserve">En ce qui concerne l'organisation des séminaires de formation et la logistique s’y rapportant, salles de séminaire, matériel audiovisuel et autres frais annexes (photocopies, transports pour les </w:t>
      </w:r>
      <w:r>
        <w:rPr>
          <w:sz w:val="24"/>
          <w:szCs w:val="24"/>
          <w:lang w:eastAsia="fr-FR"/>
        </w:rPr>
        <w:t>cadres des administrations b</w:t>
      </w:r>
      <w:r w:rsidRPr="00155AEB">
        <w:rPr>
          <w:sz w:val="24"/>
          <w:szCs w:val="24"/>
          <w:lang w:eastAsia="fr-FR"/>
        </w:rPr>
        <w:t>énéficiaires, etc.) seront pris en charge par la DRPE.</w:t>
      </w:r>
    </w:p>
    <w:p w:rsidR="00AC6567" w:rsidRPr="00155AEB" w:rsidRDefault="00AC6567" w:rsidP="00483478">
      <w:pPr>
        <w:autoSpaceDE w:val="0"/>
        <w:autoSpaceDN w:val="0"/>
        <w:adjustRightInd w:val="0"/>
        <w:spacing w:before="120" w:after="120" w:line="240" w:lineRule="auto"/>
        <w:rPr>
          <w:b/>
          <w:bCs/>
          <w:sz w:val="24"/>
          <w:szCs w:val="24"/>
        </w:rPr>
      </w:pP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10. Conditionnalité et échelonnement</w:t>
      </w:r>
    </w:p>
    <w:p w:rsidR="00AC6567" w:rsidRPr="00483478" w:rsidRDefault="00AC6567" w:rsidP="00483478">
      <w:pPr>
        <w:spacing w:before="120" w:after="120" w:line="240" w:lineRule="auto"/>
        <w:jc w:val="both"/>
        <w:rPr>
          <w:sz w:val="24"/>
          <w:szCs w:val="24"/>
          <w:lang w:eastAsia="fr-FR"/>
        </w:rPr>
      </w:pPr>
      <w:r w:rsidRPr="00483478">
        <w:rPr>
          <w:sz w:val="24"/>
          <w:szCs w:val="24"/>
          <w:lang w:eastAsia="fr-FR"/>
        </w:rPr>
        <w:t>Conditions préalables :</w:t>
      </w:r>
    </w:p>
    <w:p w:rsidR="00AC6567" w:rsidRPr="00155AEB" w:rsidRDefault="00AC6567" w:rsidP="00483478">
      <w:pPr>
        <w:spacing w:before="120" w:after="120" w:line="240" w:lineRule="auto"/>
        <w:jc w:val="both"/>
        <w:rPr>
          <w:sz w:val="24"/>
          <w:szCs w:val="24"/>
          <w:lang w:eastAsia="fr-FR"/>
        </w:rPr>
      </w:pPr>
      <w:r w:rsidRPr="00155AEB">
        <w:rPr>
          <w:sz w:val="24"/>
          <w:szCs w:val="24"/>
          <w:lang w:eastAsia="fr-FR"/>
        </w:rPr>
        <w:t>Un engagement et un soutien forts sont attendus de la part du bénéficiaire, y compris leur volonté d’établir un Comité de pilotage au sein duquel ils joueront un rôle actif dans la coordination et la mise en œuvre du projet de jumelage. La DRPE devra, en particulier, nommer le personnel homologue et allouer le personnel adéquat pour la mise en œuvre de toutes les activités y compris la formation, pour l’obtention des résultats obligatoires.</w:t>
      </w:r>
    </w:p>
    <w:p w:rsidR="00AC6567" w:rsidRPr="00155AEB" w:rsidRDefault="00AC6567" w:rsidP="00483478">
      <w:pPr>
        <w:spacing w:before="120" w:after="120" w:line="240" w:lineRule="auto"/>
        <w:jc w:val="both"/>
        <w:rPr>
          <w:sz w:val="24"/>
          <w:szCs w:val="24"/>
          <w:lang w:eastAsia="fr-FR"/>
        </w:rPr>
      </w:pPr>
      <w:r w:rsidRPr="00155AEB">
        <w:rPr>
          <w:sz w:val="24"/>
          <w:szCs w:val="24"/>
          <w:lang w:eastAsia="fr-FR"/>
        </w:rPr>
        <w:t>Pour garantir la réussite de ce projet, le bénéficiaire s’engage à</w:t>
      </w:r>
      <w:r>
        <w:rPr>
          <w:sz w:val="24"/>
          <w:szCs w:val="24"/>
          <w:lang w:eastAsia="fr-FR"/>
        </w:rPr>
        <w:t xml:space="preserve"> réaliser toutes les activités </w:t>
      </w:r>
      <w:r w:rsidRPr="00155AEB">
        <w:rPr>
          <w:sz w:val="24"/>
          <w:szCs w:val="24"/>
          <w:lang w:eastAsia="fr-FR"/>
        </w:rPr>
        <w:t xml:space="preserve">prévues pour chaque composante. Le bénéficiaire s’engage à assurer une mise en œuvre de ces activités permettant un transfert d’expertise et des compétences et par conséquent, des résultats et des effets durables pour l’institution. A cet effet une équipe de travail doit être créée avant le démarrage du projet et qui aura à sa charge la coordination et le suivi de toutes les opérations. </w:t>
      </w:r>
    </w:p>
    <w:p w:rsidR="00AC6567" w:rsidRPr="00483478" w:rsidRDefault="00AC6567" w:rsidP="00483478">
      <w:pPr>
        <w:spacing w:before="120" w:after="120" w:line="240" w:lineRule="auto"/>
        <w:jc w:val="both"/>
        <w:rPr>
          <w:sz w:val="24"/>
          <w:szCs w:val="24"/>
          <w:lang w:eastAsia="fr-FR"/>
        </w:rPr>
      </w:pPr>
      <w:r w:rsidRPr="00483478">
        <w:rPr>
          <w:sz w:val="24"/>
          <w:szCs w:val="24"/>
          <w:lang w:eastAsia="fr-FR"/>
        </w:rPr>
        <w:t>Séquençage :</w:t>
      </w:r>
    </w:p>
    <w:p w:rsidR="00AC6567" w:rsidRPr="00155AEB" w:rsidRDefault="00AC6567" w:rsidP="00483478">
      <w:pPr>
        <w:spacing w:before="120" w:after="120" w:line="240" w:lineRule="auto"/>
        <w:jc w:val="both"/>
        <w:rPr>
          <w:sz w:val="24"/>
          <w:szCs w:val="24"/>
          <w:lang w:eastAsia="fr-FR"/>
        </w:rPr>
      </w:pPr>
      <w:r w:rsidRPr="00155AEB">
        <w:rPr>
          <w:sz w:val="24"/>
          <w:szCs w:val="24"/>
          <w:lang w:eastAsia="fr-FR"/>
        </w:rPr>
        <w:t>Le tableau présentant le calendrier de mise en œuvre (annexe 2) mentionne à titre indicatif les séquences des différentes activités en fonction des résultats à obtenir sur la période de 24 mois.</w:t>
      </w:r>
    </w:p>
    <w:p w:rsidR="00AC6567" w:rsidRPr="00155AEB" w:rsidRDefault="00AC6567" w:rsidP="00483478">
      <w:pPr>
        <w:autoSpaceDE w:val="0"/>
        <w:autoSpaceDN w:val="0"/>
        <w:adjustRightInd w:val="0"/>
        <w:spacing w:before="120" w:after="120" w:line="240" w:lineRule="auto"/>
        <w:jc w:val="both"/>
        <w:rPr>
          <w:b/>
          <w:bCs/>
          <w:sz w:val="24"/>
          <w:szCs w:val="24"/>
        </w:rPr>
      </w:pPr>
    </w:p>
    <w:p w:rsidR="00AC6567" w:rsidRPr="00155AEB" w:rsidRDefault="00AC6567" w:rsidP="00483478">
      <w:pPr>
        <w:spacing w:before="120" w:after="120" w:line="240" w:lineRule="auto"/>
        <w:rPr>
          <w:b/>
          <w:bCs/>
          <w:sz w:val="24"/>
          <w:szCs w:val="24"/>
        </w:rPr>
      </w:pPr>
      <w:r w:rsidRPr="00155AEB">
        <w:rPr>
          <w:b/>
          <w:bCs/>
          <w:sz w:val="24"/>
          <w:szCs w:val="24"/>
        </w:rPr>
        <w:br w:type="page"/>
      </w:r>
    </w:p>
    <w:p w:rsidR="00AC6567" w:rsidRPr="00155AEB" w:rsidRDefault="00AC6567" w:rsidP="00483478">
      <w:pPr>
        <w:autoSpaceDE w:val="0"/>
        <w:autoSpaceDN w:val="0"/>
        <w:adjustRightInd w:val="0"/>
        <w:spacing w:before="120" w:after="120" w:line="240" w:lineRule="auto"/>
        <w:rPr>
          <w:b/>
          <w:bCs/>
          <w:sz w:val="24"/>
          <w:szCs w:val="24"/>
        </w:rPr>
      </w:pPr>
    </w:p>
    <w:p w:rsidR="00AC6567" w:rsidRPr="00155AEB" w:rsidRDefault="00AC6567" w:rsidP="00483478">
      <w:pPr>
        <w:autoSpaceDE w:val="0"/>
        <w:autoSpaceDN w:val="0"/>
        <w:adjustRightInd w:val="0"/>
        <w:spacing w:before="120" w:after="120" w:line="240" w:lineRule="auto"/>
        <w:rPr>
          <w:b/>
          <w:bCs/>
          <w:sz w:val="24"/>
          <w:szCs w:val="24"/>
        </w:rPr>
      </w:pPr>
    </w:p>
    <w:p w:rsidR="00AC6567" w:rsidRPr="00155AEB" w:rsidRDefault="00AC6567" w:rsidP="00483478">
      <w:pPr>
        <w:autoSpaceDE w:val="0"/>
        <w:autoSpaceDN w:val="0"/>
        <w:adjustRightInd w:val="0"/>
        <w:spacing w:before="120" w:after="120" w:line="240" w:lineRule="auto"/>
        <w:rPr>
          <w:b/>
          <w:bCs/>
          <w:sz w:val="24"/>
          <w:szCs w:val="24"/>
        </w:rPr>
      </w:pPr>
      <w:r w:rsidRPr="00155AEB">
        <w:rPr>
          <w:b/>
          <w:bCs/>
          <w:sz w:val="24"/>
          <w:szCs w:val="24"/>
        </w:rPr>
        <w:t>ANNEXES A LA FICHE DE PROJET</w:t>
      </w:r>
    </w:p>
    <w:p w:rsidR="00AC6567" w:rsidRPr="00155AEB" w:rsidRDefault="00AC6567" w:rsidP="00483478">
      <w:pPr>
        <w:autoSpaceDE w:val="0"/>
        <w:autoSpaceDN w:val="0"/>
        <w:adjustRightInd w:val="0"/>
        <w:spacing w:before="120" w:after="120" w:line="240" w:lineRule="auto"/>
        <w:rPr>
          <w:b/>
          <w:bCs/>
          <w:sz w:val="24"/>
          <w:szCs w:val="24"/>
        </w:rPr>
      </w:pPr>
    </w:p>
    <w:p w:rsidR="00AC6567" w:rsidRPr="00155AEB" w:rsidRDefault="00AC6567" w:rsidP="00483478">
      <w:pPr>
        <w:autoSpaceDE w:val="0"/>
        <w:autoSpaceDN w:val="0"/>
        <w:adjustRightInd w:val="0"/>
        <w:spacing w:before="120" w:after="120" w:line="240" w:lineRule="auto"/>
        <w:rPr>
          <w:sz w:val="24"/>
          <w:szCs w:val="24"/>
        </w:rPr>
      </w:pPr>
      <w:r w:rsidRPr="00155AEB">
        <w:rPr>
          <w:sz w:val="24"/>
          <w:szCs w:val="24"/>
        </w:rPr>
        <w:t xml:space="preserve">1. Matrice du cadre logique en format standard </w:t>
      </w:r>
    </w:p>
    <w:p w:rsidR="00AC6567" w:rsidRPr="00155AEB" w:rsidRDefault="00AC6567" w:rsidP="00483478">
      <w:pPr>
        <w:autoSpaceDE w:val="0"/>
        <w:autoSpaceDN w:val="0"/>
        <w:adjustRightInd w:val="0"/>
        <w:spacing w:before="120" w:after="120" w:line="240" w:lineRule="auto"/>
        <w:rPr>
          <w:sz w:val="24"/>
          <w:szCs w:val="24"/>
        </w:rPr>
      </w:pPr>
      <w:r w:rsidRPr="00155AEB">
        <w:rPr>
          <w:sz w:val="24"/>
          <w:szCs w:val="24"/>
        </w:rPr>
        <w:t xml:space="preserve">2. Calendrier détaillé de mise en œuvre </w:t>
      </w:r>
    </w:p>
    <w:p w:rsidR="00AC6567" w:rsidRPr="00155AEB" w:rsidRDefault="00AC6567" w:rsidP="00483478">
      <w:pPr>
        <w:autoSpaceDE w:val="0"/>
        <w:autoSpaceDN w:val="0"/>
        <w:adjustRightInd w:val="0"/>
        <w:spacing w:before="120" w:after="120" w:line="240" w:lineRule="auto"/>
        <w:rPr>
          <w:sz w:val="24"/>
          <w:szCs w:val="24"/>
        </w:rPr>
        <w:sectPr w:rsidR="00AC6567" w:rsidRPr="00155AEB" w:rsidSect="009655EB">
          <w:footerReference w:type="default" r:id="rId12"/>
          <w:pgSz w:w="11906" w:h="16838"/>
          <w:pgMar w:top="1418" w:right="1418" w:bottom="1418" w:left="1418" w:header="709" w:footer="709" w:gutter="0"/>
          <w:cols w:space="708"/>
          <w:rtlGutter/>
          <w:docGrid w:linePitch="360"/>
        </w:sectPr>
      </w:pPr>
      <w:r w:rsidRPr="00155AEB">
        <w:rPr>
          <w:sz w:val="24"/>
          <w:szCs w:val="24"/>
        </w:rPr>
        <w:t>3. Liste des principaux textes législatifs et réglementaires</w:t>
      </w:r>
    </w:p>
    <w:p w:rsidR="00AC6567" w:rsidRPr="00155AEB" w:rsidRDefault="00AC6567" w:rsidP="00483478">
      <w:pPr>
        <w:spacing w:before="120" w:after="120" w:line="240" w:lineRule="auto"/>
        <w:rPr>
          <w:sz w:val="24"/>
          <w:szCs w:val="24"/>
        </w:rPr>
      </w:pPr>
    </w:p>
    <w:p w:rsidR="00AC6567" w:rsidRPr="00155AEB" w:rsidRDefault="00AC6567" w:rsidP="00483478">
      <w:pPr>
        <w:spacing w:before="120" w:after="120" w:line="240" w:lineRule="auto"/>
        <w:rPr>
          <w:sz w:val="24"/>
          <w:szCs w:val="24"/>
          <w:lang w:eastAsia="en-GB"/>
        </w:rPr>
      </w:pPr>
    </w:p>
    <w:p w:rsidR="00AC6567" w:rsidRPr="00155AEB" w:rsidRDefault="00AC6567" w:rsidP="00483478">
      <w:pPr>
        <w:suppressAutoHyphens/>
        <w:spacing w:before="120" w:after="120" w:line="240" w:lineRule="auto"/>
        <w:jc w:val="center"/>
        <w:rPr>
          <w:b/>
          <w:bCs/>
          <w:sz w:val="24"/>
          <w:szCs w:val="24"/>
          <w:lang w:eastAsia="ar-SA"/>
        </w:rPr>
      </w:pPr>
      <w:r w:rsidRPr="00155AEB">
        <w:rPr>
          <w:b/>
          <w:bCs/>
          <w:sz w:val="24"/>
          <w:szCs w:val="24"/>
          <w:lang w:eastAsia="ar-SA"/>
        </w:rPr>
        <w:t>ANNEXE 1: CADRE LOGIQUE</w:t>
      </w:r>
    </w:p>
    <w:p w:rsidR="00AC6567" w:rsidRPr="00155AEB" w:rsidRDefault="00AC6567" w:rsidP="008E44D0">
      <w:pPr>
        <w:suppressAutoHyphens/>
        <w:spacing w:before="120" w:after="120" w:line="240" w:lineRule="auto"/>
        <w:rPr>
          <w:b/>
          <w:bCs/>
          <w:sz w:val="24"/>
          <w:szCs w:val="24"/>
          <w:lang w:eastAsia="ar-S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6"/>
        <w:gridCol w:w="3984"/>
        <w:gridCol w:w="2926"/>
        <w:gridCol w:w="3693"/>
        <w:gridCol w:w="3402"/>
      </w:tblGrid>
      <w:tr w:rsidR="00AC6567" w:rsidRPr="00AF0FFA">
        <w:tc>
          <w:tcPr>
            <w:tcW w:w="1696" w:type="dxa"/>
            <w:shd w:val="clear" w:color="auto" w:fill="99CCFF"/>
          </w:tcPr>
          <w:p w:rsidR="00AC6567" w:rsidRPr="00AF0FFA" w:rsidRDefault="00AC6567" w:rsidP="00483478">
            <w:pPr>
              <w:suppressAutoHyphens/>
              <w:spacing w:before="120" w:after="120" w:line="240" w:lineRule="auto"/>
              <w:rPr>
                <w:sz w:val="24"/>
                <w:szCs w:val="24"/>
                <w:lang w:eastAsia="ar-SA"/>
              </w:rPr>
            </w:pPr>
          </w:p>
        </w:tc>
        <w:tc>
          <w:tcPr>
            <w:tcW w:w="3984" w:type="dxa"/>
            <w:shd w:val="clear" w:color="auto" w:fill="99CCFF"/>
          </w:tcPr>
          <w:p w:rsidR="00AC6567" w:rsidRPr="00AF0FFA" w:rsidRDefault="00AC6567" w:rsidP="00483478">
            <w:pPr>
              <w:suppressAutoHyphens/>
              <w:spacing w:before="120" w:after="120" w:line="240" w:lineRule="auto"/>
              <w:jc w:val="center"/>
              <w:rPr>
                <w:b/>
                <w:bCs/>
                <w:sz w:val="24"/>
                <w:szCs w:val="24"/>
                <w:lang w:eastAsia="ar-SA"/>
              </w:rPr>
            </w:pPr>
            <w:r w:rsidRPr="00AF0FFA">
              <w:rPr>
                <w:b/>
                <w:bCs/>
                <w:sz w:val="24"/>
                <w:szCs w:val="24"/>
                <w:lang w:eastAsia="ar-SA"/>
              </w:rPr>
              <w:t>Logique d’intervention</w:t>
            </w:r>
          </w:p>
        </w:tc>
        <w:tc>
          <w:tcPr>
            <w:tcW w:w="2926" w:type="dxa"/>
            <w:shd w:val="clear" w:color="auto" w:fill="99CCFF"/>
          </w:tcPr>
          <w:p w:rsidR="00AC6567" w:rsidRPr="00AF0FFA" w:rsidRDefault="00AC6567" w:rsidP="00483478">
            <w:pPr>
              <w:suppressAutoHyphens/>
              <w:spacing w:before="120" w:after="120" w:line="240" w:lineRule="auto"/>
              <w:jc w:val="center"/>
              <w:rPr>
                <w:b/>
                <w:bCs/>
                <w:sz w:val="24"/>
                <w:szCs w:val="24"/>
                <w:lang w:eastAsia="ar-SA"/>
              </w:rPr>
            </w:pPr>
            <w:r w:rsidRPr="00AF0FFA">
              <w:rPr>
                <w:b/>
                <w:bCs/>
                <w:sz w:val="24"/>
                <w:szCs w:val="24"/>
                <w:lang w:eastAsia="ar-SA"/>
              </w:rPr>
              <w:t>Indicateurs objectivement</w:t>
            </w:r>
          </w:p>
          <w:p w:rsidR="00AC6567" w:rsidRPr="00AF0FFA" w:rsidRDefault="00AC6567" w:rsidP="00483478">
            <w:pPr>
              <w:suppressAutoHyphens/>
              <w:spacing w:before="120" w:after="120" w:line="240" w:lineRule="auto"/>
              <w:jc w:val="center"/>
              <w:rPr>
                <w:sz w:val="24"/>
                <w:szCs w:val="24"/>
                <w:lang w:eastAsia="ar-SA"/>
              </w:rPr>
            </w:pPr>
            <w:r w:rsidRPr="00AF0FFA">
              <w:rPr>
                <w:b/>
                <w:bCs/>
                <w:sz w:val="24"/>
                <w:szCs w:val="24"/>
                <w:lang w:eastAsia="ar-SA"/>
              </w:rPr>
              <w:t>vérifiables</w:t>
            </w:r>
          </w:p>
        </w:tc>
        <w:tc>
          <w:tcPr>
            <w:tcW w:w="3693" w:type="dxa"/>
            <w:shd w:val="clear" w:color="auto" w:fill="99CCFF"/>
          </w:tcPr>
          <w:p w:rsidR="00AC6567" w:rsidRPr="00AF0FFA" w:rsidRDefault="00AC6567" w:rsidP="00483478">
            <w:pPr>
              <w:suppressAutoHyphens/>
              <w:spacing w:before="120" w:after="120" w:line="240" w:lineRule="auto"/>
              <w:jc w:val="center"/>
              <w:rPr>
                <w:b/>
                <w:bCs/>
                <w:sz w:val="24"/>
                <w:szCs w:val="24"/>
                <w:lang w:eastAsia="ar-SA"/>
              </w:rPr>
            </w:pPr>
            <w:r w:rsidRPr="00AF0FFA">
              <w:rPr>
                <w:b/>
                <w:bCs/>
                <w:sz w:val="24"/>
                <w:szCs w:val="24"/>
                <w:lang w:eastAsia="ar-SA"/>
              </w:rPr>
              <w:t>Sources d’information (moyens de vérification)</w:t>
            </w:r>
          </w:p>
        </w:tc>
        <w:tc>
          <w:tcPr>
            <w:tcW w:w="3402" w:type="dxa"/>
            <w:shd w:val="clear" w:color="auto" w:fill="99CCFF"/>
          </w:tcPr>
          <w:p w:rsidR="00AC6567" w:rsidRPr="00AF0FFA" w:rsidRDefault="00AC6567" w:rsidP="00483478">
            <w:pPr>
              <w:suppressAutoHyphens/>
              <w:spacing w:before="120" w:after="120" w:line="240" w:lineRule="auto"/>
              <w:jc w:val="center"/>
              <w:rPr>
                <w:b/>
                <w:bCs/>
                <w:sz w:val="24"/>
                <w:szCs w:val="24"/>
                <w:lang w:eastAsia="ar-SA"/>
              </w:rPr>
            </w:pPr>
            <w:r w:rsidRPr="00AF0FFA">
              <w:rPr>
                <w:b/>
                <w:bCs/>
                <w:sz w:val="24"/>
                <w:szCs w:val="24"/>
                <w:lang w:eastAsia="ar-SA"/>
              </w:rPr>
              <w:t>Hypothèses</w:t>
            </w:r>
          </w:p>
          <w:p w:rsidR="00AC6567" w:rsidRPr="00AF0FFA" w:rsidRDefault="00AC6567" w:rsidP="00483478">
            <w:pPr>
              <w:suppressAutoHyphens/>
              <w:spacing w:before="120" w:after="120" w:line="240" w:lineRule="auto"/>
              <w:jc w:val="center"/>
              <w:rPr>
                <w:b/>
                <w:bCs/>
                <w:sz w:val="24"/>
                <w:szCs w:val="24"/>
                <w:lang w:eastAsia="ar-SA"/>
              </w:rPr>
            </w:pPr>
            <w:r w:rsidRPr="00AF0FFA">
              <w:rPr>
                <w:b/>
                <w:bCs/>
                <w:sz w:val="24"/>
                <w:szCs w:val="24"/>
                <w:lang w:eastAsia="ar-SA"/>
              </w:rPr>
              <w:t>(facteurs externes)</w:t>
            </w:r>
          </w:p>
        </w:tc>
      </w:tr>
      <w:tr w:rsidR="00AC6567" w:rsidRPr="00AF0FFA">
        <w:tc>
          <w:tcPr>
            <w:tcW w:w="1696" w:type="dxa"/>
            <w:shd w:val="clear" w:color="auto" w:fill="99CCFF"/>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 xml:space="preserve">Objectif général </w:t>
            </w:r>
          </w:p>
          <w:p w:rsidR="00AC6567" w:rsidRPr="00AF0FFA" w:rsidRDefault="00AC6567" w:rsidP="00483478">
            <w:pPr>
              <w:suppressAutoHyphens/>
              <w:spacing w:before="120" w:after="120" w:line="240" w:lineRule="auto"/>
              <w:rPr>
                <w:b/>
                <w:bCs/>
                <w:sz w:val="24"/>
                <w:szCs w:val="24"/>
                <w:lang w:eastAsia="ar-SA"/>
              </w:rPr>
            </w:pPr>
          </w:p>
        </w:tc>
        <w:tc>
          <w:tcPr>
            <w:tcW w:w="3984" w:type="dxa"/>
          </w:tcPr>
          <w:p w:rsidR="00AC6567" w:rsidRPr="00AF0FFA" w:rsidRDefault="00AC6567" w:rsidP="00483478">
            <w:pPr>
              <w:suppressAutoHyphens/>
              <w:spacing w:before="120" w:after="120" w:line="240" w:lineRule="auto"/>
              <w:rPr>
                <w:color w:val="000000"/>
                <w:sz w:val="24"/>
                <w:szCs w:val="24"/>
                <w:lang w:eastAsia="ar-SA"/>
              </w:rPr>
            </w:pPr>
          </w:p>
          <w:p w:rsidR="00AC6567" w:rsidRPr="00AF0FFA" w:rsidRDefault="00AC6567" w:rsidP="00483478">
            <w:pPr>
              <w:suppressAutoHyphens/>
              <w:spacing w:before="120" w:after="120" w:line="240" w:lineRule="auto"/>
              <w:rPr>
                <w:color w:val="000000"/>
                <w:sz w:val="24"/>
                <w:szCs w:val="24"/>
                <w:lang w:eastAsia="ar-SA"/>
              </w:rPr>
            </w:pPr>
            <w:r w:rsidRPr="00AF0FFA">
              <w:rPr>
                <w:color w:val="000000"/>
                <w:sz w:val="24"/>
                <w:szCs w:val="24"/>
              </w:rPr>
              <w:t>Soutien à l’amélioration de la gouvernance et la gestion des ressources en eau au Maroc</w:t>
            </w:r>
          </w:p>
        </w:tc>
        <w:tc>
          <w:tcPr>
            <w:tcW w:w="2926" w:type="dxa"/>
          </w:tcPr>
          <w:p w:rsidR="00AC6567" w:rsidRPr="00AF0FFA" w:rsidRDefault="00AC6567" w:rsidP="00483478">
            <w:pPr>
              <w:autoSpaceDE w:val="0"/>
              <w:autoSpaceDN w:val="0"/>
              <w:adjustRightInd w:val="0"/>
              <w:spacing w:before="120" w:after="120" w:line="240" w:lineRule="auto"/>
              <w:jc w:val="both"/>
              <w:rPr>
                <w:color w:val="000000"/>
                <w:sz w:val="24"/>
                <w:szCs w:val="24"/>
                <w:lang w:eastAsia="fr-FR"/>
              </w:rPr>
            </w:pPr>
          </w:p>
          <w:p w:rsidR="00AC6567" w:rsidRPr="00AF0FFA" w:rsidRDefault="00AC6567" w:rsidP="00483478">
            <w:pPr>
              <w:autoSpaceDE w:val="0"/>
              <w:autoSpaceDN w:val="0"/>
              <w:adjustRightInd w:val="0"/>
              <w:spacing w:before="120" w:after="120" w:line="240" w:lineRule="auto"/>
              <w:jc w:val="both"/>
              <w:rPr>
                <w:color w:val="000000"/>
                <w:sz w:val="24"/>
                <w:szCs w:val="24"/>
              </w:rPr>
            </w:pPr>
            <w:r w:rsidRPr="00AF0FFA">
              <w:rPr>
                <w:color w:val="000000"/>
                <w:sz w:val="24"/>
                <w:szCs w:val="24"/>
              </w:rPr>
              <w:t>- Évolution qualitative et quantitative des ressources en eau sur moyenne et longue périodes</w:t>
            </w:r>
          </w:p>
          <w:p w:rsidR="00AC6567" w:rsidRPr="00AF0FFA" w:rsidRDefault="00AC6567" w:rsidP="00483478">
            <w:pPr>
              <w:autoSpaceDE w:val="0"/>
              <w:autoSpaceDN w:val="0"/>
              <w:adjustRightInd w:val="0"/>
              <w:spacing w:before="120" w:after="120" w:line="240" w:lineRule="auto"/>
              <w:jc w:val="both"/>
              <w:rPr>
                <w:color w:val="000000"/>
                <w:sz w:val="24"/>
                <w:szCs w:val="24"/>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ar-SA"/>
              </w:rPr>
              <w:t>- Respect des règles internationales, européennes et régionales relatives à la gouvernance de l’eau</w:t>
            </w:r>
          </w:p>
        </w:tc>
        <w:tc>
          <w:tcPr>
            <w:tcW w:w="3693" w:type="dxa"/>
          </w:tcPr>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ar-SA"/>
              </w:rPr>
              <w:t>- Publications et études scientifiques produites par la Direction de la Recherche et de la Planification de l’eau (DRPE)</w:t>
            </w:r>
          </w:p>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ar-SA"/>
              </w:rPr>
              <w:t>- Rapports de suivi de la Stratégie Nationale de l’Eau (SNE)</w:t>
            </w:r>
            <w:r w:rsidRPr="00AF0FFA">
              <w:rPr>
                <w:color w:val="000000"/>
                <w:sz w:val="24"/>
                <w:szCs w:val="24"/>
                <w:lang w:eastAsia="fr-FR"/>
              </w:rPr>
              <w:t> </w:t>
            </w:r>
          </w:p>
        </w:tc>
        <w:tc>
          <w:tcPr>
            <w:tcW w:w="3402" w:type="dxa"/>
          </w:tcPr>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ar-SA"/>
              </w:rPr>
              <w:t>- Le cadre macro-politique du Royaume du Maroc reste stable</w:t>
            </w:r>
          </w:p>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ar-SA"/>
              </w:rPr>
              <w:t>- La Stratégie Nationale de l’Eau (SNE) est maintenue et reste une priorité gouvernementale</w:t>
            </w:r>
          </w:p>
          <w:p w:rsidR="00AC6567" w:rsidRPr="00AF0FFA" w:rsidRDefault="00AC6567" w:rsidP="00483478">
            <w:pPr>
              <w:suppressAutoHyphens/>
              <w:spacing w:before="120" w:after="120" w:line="240" w:lineRule="auto"/>
              <w:jc w:val="both"/>
              <w:rPr>
                <w:color w:val="000000"/>
                <w:sz w:val="24"/>
                <w:szCs w:val="24"/>
                <w:lang w:eastAsia="ar-SA"/>
              </w:rPr>
            </w:pPr>
          </w:p>
        </w:tc>
      </w:tr>
      <w:tr w:rsidR="00AC6567" w:rsidRPr="00AF0FFA">
        <w:tc>
          <w:tcPr>
            <w:tcW w:w="1696" w:type="dxa"/>
            <w:shd w:val="clear" w:color="auto" w:fill="99CCFF"/>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Objectif spécifique</w:t>
            </w:r>
          </w:p>
          <w:p w:rsidR="00AC6567" w:rsidRPr="00AF0FFA" w:rsidRDefault="00AC6567" w:rsidP="00483478">
            <w:pPr>
              <w:suppressAutoHyphens/>
              <w:spacing w:before="120" w:after="120" w:line="240" w:lineRule="auto"/>
              <w:rPr>
                <w:b/>
                <w:bCs/>
                <w:sz w:val="24"/>
                <w:szCs w:val="24"/>
                <w:lang w:eastAsia="ar-SA"/>
              </w:rPr>
            </w:pPr>
          </w:p>
        </w:tc>
        <w:tc>
          <w:tcPr>
            <w:tcW w:w="3984" w:type="dxa"/>
          </w:tcPr>
          <w:p w:rsidR="00AC6567" w:rsidRPr="00AF0FFA" w:rsidRDefault="00AC6567" w:rsidP="00483478">
            <w:pPr>
              <w:suppressAutoHyphens/>
              <w:spacing w:before="120" w:after="120" w:line="240" w:lineRule="auto"/>
              <w:rPr>
                <w:color w:val="000000"/>
                <w:sz w:val="24"/>
                <w:szCs w:val="24"/>
                <w:lang w:eastAsia="ar-SA"/>
              </w:rPr>
            </w:pPr>
          </w:p>
          <w:p w:rsidR="00AC6567" w:rsidRPr="00AF0FFA" w:rsidRDefault="00AC6567" w:rsidP="008E44D0">
            <w:pPr>
              <w:autoSpaceDE w:val="0"/>
              <w:autoSpaceDN w:val="0"/>
              <w:adjustRightInd w:val="0"/>
              <w:spacing w:before="120" w:after="120" w:line="240" w:lineRule="auto"/>
              <w:jc w:val="both"/>
              <w:rPr>
                <w:sz w:val="24"/>
                <w:szCs w:val="24"/>
              </w:rPr>
            </w:pPr>
            <w:r w:rsidRPr="00AF0FFA">
              <w:rPr>
                <w:color w:val="000000"/>
                <w:sz w:val="24"/>
                <w:szCs w:val="24"/>
              </w:rPr>
              <w:t>Renforcer les capacités institutionnelles, organisationnelles et techniques en matière de gouvernance et de gestion intégrée des ressources en eau du Ministère Délégué auprès du Ministère de l’Energie, des Mines, de l’Eau et de l’Environnement chargé de l’Eau (MEMEE) du Royaume du Maroc</w:t>
            </w:r>
            <w:r w:rsidRPr="00AF0FFA">
              <w:rPr>
                <w:sz w:val="24"/>
                <w:szCs w:val="24"/>
              </w:rPr>
              <w:t>.</w:t>
            </w:r>
          </w:p>
          <w:p w:rsidR="00AC6567" w:rsidRPr="00AF0FFA" w:rsidRDefault="00AC6567" w:rsidP="00483478">
            <w:pPr>
              <w:suppressAutoHyphens/>
              <w:spacing w:before="120" w:after="120" w:line="240" w:lineRule="auto"/>
              <w:rPr>
                <w:color w:val="000000"/>
                <w:sz w:val="24"/>
                <w:szCs w:val="24"/>
                <w:lang w:eastAsia="ar-SA"/>
              </w:rPr>
            </w:pPr>
          </w:p>
        </w:tc>
        <w:tc>
          <w:tcPr>
            <w:tcW w:w="2926" w:type="dxa"/>
          </w:tcPr>
          <w:p w:rsidR="00AC6567" w:rsidRPr="00AF0FFA" w:rsidRDefault="00AC6567" w:rsidP="00483478">
            <w:pPr>
              <w:autoSpaceDE w:val="0"/>
              <w:autoSpaceDN w:val="0"/>
              <w:adjustRightInd w:val="0"/>
              <w:spacing w:before="120" w:after="120" w:line="240" w:lineRule="auto"/>
              <w:jc w:val="both"/>
              <w:rPr>
                <w:color w:val="000000"/>
                <w:sz w:val="24"/>
                <w:szCs w:val="24"/>
                <w:lang w:eastAsia="fr-FR"/>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Un projet de plan de gestion, dans </w:t>
            </w:r>
            <w:r w:rsidRPr="00AF0FFA">
              <w:rPr>
                <w:i/>
                <w:iCs/>
                <w:color w:val="000000"/>
                <w:sz w:val="24"/>
                <w:szCs w:val="24"/>
                <w:lang w:eastAsia="en-GB"/>
              </w:rPr>
              <w:t>l’esprit</w:t>
            </w:r>
            <w:r w:rsidRPr="00AF0FFA">
              <w:rPr>
                <w:color w:val="000000"/>
                <w:sz w:val="24"/>
                <w:szCs w:val="24"/>
                <w:lang w:eastAsia="en-GB"/>
              </w:rPr>
              <w:t xml:space="preserve"> de la Directive Cadre de l’Eau (DCE), est mis en place dans un bassin hydraulique pilote du Maroc</w:t>
            </w:r>
          </w:p>
          <w:p w:rsidR="00AC6567" w:rsidRPr="00AF0FFA" w:rsidRDefault="00AC6567" w:rsidP="00483478">
            <w:pPr>
              <w:suppressAutoHyphens/>
              <w:spacing w:before="120" w:after="120" w:line="240" w:lineRule="auto"/>
              <w:jc w:val="both"/>
              <w:rPr>
                <w:color w:val="000000"/>
                <w:sz w:val="24"/>
                <w:szCs w:val="24"/>
                <w:lang w:eastAsia="en-GB"/>
              </w:rPr>
            </w:pPr>
          </w:p>
          <w:p w:rsidR="00AC6567" w:rsidRPr="00AF0FFA" w:rsidRDefault="00AC6567" w:rsidP="00B510C2">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Un projet de  programme national de convergence réglementaire dans le secteur de l '’eau </w:t>
            </w:r>
          </w:p>
        </w:tc>
        <w:tc>
          <w:tcPr>
            <w:tcW w:w="3693" w:type="dxa"/>
          </w:tcPr>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Rapports sur l’analyse de l’écart juridique et institutionnel entre le Maroc et l’UE dans le domaine de la gestion de l’eau</w:t>
            </w:r>
          </w:p>
          <w:p w:rsidR="00AC6567" w:rsidRPr="00AF0FFA" w:rsidRDefault="00AC6567" w:rsidP="00483478">
            <w:pPr>
              <w:suppressAutoHyphens/>
              <w:spacing w:before="120" w:after="120" w:line="240" w:lineRule="auto"/>
              <w:jc w:val="both"/>
              <w:rPr>
                <w:color w:val="000000"/>
                <w:sz w:val="24"/>
                <w:szCs w:val="24"/>
                <w:lang w:eastAsia="en-GB"/>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Développement d’outils méthodologiques</w:t>
            </w:r>
          </w:p>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ar-SA"/>
              </w:rPr>
              <w:t xml:space="preserve">- </w:t>
            </w:r>
            <w:r w:rsidRPr="00AF0FFA">
              <w:rPr>
                <w:color w:val="000000"/>
                <w:sz w:val="24"/>
                <w:szCs w:val="24"/>
                <w:lang w:eastAsia="en-GB"/>
              </w:rPr>
              <w:t>Supports pédagogiques produits dans le cadre des sessions de formation</w:t>
            </w:r>
          </w:p>
        </w:tc>
        <w:tc>
          <w:tcPr>
            <w:tcW w:w="3402" w:type="dxa"/>
          </w:tcPr>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en-GB"/>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99CCFF"/>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1</w:t>
            </w:r>
            <w:r w:rsidRPr="00AF0FFA">
              <w:rPr>
                <w:b/>
                <w:bCs/>
                <w:sz w:val="24"/>
                <w:szCs w:val="24"/>
                <w:vertAlign w:val="superscript"/>
                <w:lang w:eastAsia="ar-SA"/>
              </w:rPr>
              <w:t xml:space="preserve">er </w:t>
            </w:r>
            <w:r w:rsidRPr="00AF0FFA">
              <w:rPr>
                <w:b/>
                <w:bCs/>
                <w:sz w:val="24"/>
                <w:szCs w:val="24"/>
                <w:lang w:eastAsia="ar-SA"/>
              </w:rPr>
              <w:t>Résultat obligatoire</w:t>
            </w:r>
          </w:p>
        </w:tc>
        <w:tc>
          <w:tcPr>
            <w:tcW w:w="3984" w:type="dxa"/>
          </w:tcPr>
          <w:p w:rsidR="00AC6567" w:rsidRPr="00AF0FFA" w:rsidRDefault="00AC6567" w:rsidP="00483478">
            <w:pPr>
              <w:suppressAutoHyphens/>
              <w:spacing w:before="120" w:after="120" w:line="240" w:lineRule="auto"/>
              <w:rPr>
                <w:color w:val="000000"/>
                <w:sz w:val="24"/>
                <w:szCs w:val="24"/>
                <w:lang w:eastAsia="ar-SA"/>
              </w:rPr>
            </w:pPr>
          </w:p>
          <w:p w:rsidR="00AC6567" w:rsidRPr="00AF0FFA" w:rsidRDefault="00AC6567" w:rsidP="0035441F">
            <w:pPr>
              <w:suppressAutoHyphens/>
              <w:spacing w:before="120" w:after="120" w:line="240" w:lineRule="auto"/>
              <w:jc w:val="both"/>
              <w:rPr>
                <w:color w:val="000000"/>
                <w:sz w:val="24"/>
                <w:szCs w:val="24"/>
                <w:lang w:eastAsia="en-GB"/>
              </w:rPr>
            </w:pPr>
            <w:r w:rsidRPr="00AF0FFA">
              <w:rPr>
                <w:color w:val="000000"/>
                <w:sz w:val="24"/>
                <w:szCs w:val="24"/>
                <w:lang w:eastAsia="en-GB"/>
              </w:rPr>
              <w:t>Le département de l’Eau du MEMEE dispose d’une analyse complète de l’écart juridique et institutionnel entre le Maroc et l’UE dans le domaine de la gestion des ressources en eau</w:t>
            </w:r>
          </w:p>
        </w:tc>
        <w:tc>
          <w:tcPr>
            <w:tcW w:w="2926" w:type="dxa"/>
          </w:tcPr>
          <w:p w:rsidR="00AC6567" w:rsidRPr="00AF0FFA" w:rsidRDefault="00AC6567" w:rsidP="00483478">
            <w:pPr>
              <w:autoSpaceDE w:val="0"/>
              <w:autoSpaceDN w:val="0"/>
              <w:adjustRightInd w:val="0"/>
              <w:spacing w:before="120" w:after="120" w:line="240" w:lineRule="auto"/>
              <w:jc w:val="both"/>
              <w:rPr>
                <w:color w:val="000000"/>
                <w:sz w:val="24"/>
                <w:szCs w:val="24"/>
                <w:lang w:eastAsia="fr-FR"/>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Tableau de Concordance </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Analyse de l’écart</w:t>
            </w: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en-GB"/>
              </w:rPr>
              <w:t xml:space="preserve">- Formation des experts marocains </w:t>
            </w:r>
          </w:p>
        </w:tc>
        <w:tc>
          <w:tcPr>
            <w:tcW w:w="7095" w:type="dxa"/>
            <w:gridSpan w:val="2"/>
          </w:tcPr>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Rapport sur l’analyse de l’écart juridique et institutionnel</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Supports pédagogiques pour les formations</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Listes des participants aux réunions et sessions de formation</w:t>
            </w: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en-GB"/>
              </w:rPr>
              <w:t>- Rapports de mission des experts</w:t>
            </w:r>
          </w:p>
        </w:tc>
      </w:tr>
      <w:tr w:rsidR="00AC6567" w:rsidRPr="00AF0FFA">
        <w:tc>
          <w:tcPr>
            <w:tcW w:w="1696" w:type="dxa"/>
            <w:shd w:val="clear" w:color="auto" w:fill="99CCFF"/>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2</w:t>
            </w:r>
            <w:r w:rsidRPr="00AF0FFA">
              <w:rPr>
                <w:b/>
                <w:bCs/>
                <w:sz w:val="24"/>
                <w:szCs w:val="24"/>
                <w:vertAlign w:val="superscript"/>
                <w:lang w:eastAsia="ar-SA"/>
              </w:rPr>
              <w:t xml:space="preserve">ème </w:t>
            </w:r>
            <w:r w:rsidRPr="00AF0FFA">
              <w:rPr>
                <w:b/>
                <w:bCs/>
                <w:sz w:val="24"/>
                <w:szCs w:val="24"/>
                <w:lang w:eastAsia="ar-SA"/>
              </w:rPr>
              <w:t>Résultat obligatoire</w:t>
            </w:r>
          </w:p>
        </w:tc>
        <w:tc>
          <w:tcPr>
            <w:tcW w:w="3984" w:type="dxa"/>
          </w:tcPr>
          <w:p w:rsidR="00AC6567" w:rsidRPr="00AF0FFA" w:rsidRDefault="00AC6567" w:rsidP="00483478">
            <w:pPr>
              <w:suppressAutoHyphens/>
              <w:spacing w:before="120" w:after="120" w:line="240" w:lineRule="auto"/>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Le département de l’Eau du MEMEE dispose d’un projet de Plan de gestion pour un bassin hydraulique au Maroc</w:t>
            </w:r>
            <w:r w:rsidRPr="00AF0FFA">
              <w:rPr>
                <w:color w:val="000000"/>
                <w:sz w:val="24"/>
                <w:szCs w:val="24"/>
                <w:lang w:eastAsia="ar-SA"/>
              </w:rPr>
              <w:t xml:space="preserve"> </w:t>
            </w:r>
          </w:p>
          <w:p w:rsidR="00AC6567" w:rsidRPr="00AF0FFA" w:rsidRDefault="00AC6567" w:rsidP="00483478">
            <w:pPr>
              <w:suppressAutoHyphens/>
              <w:spacing w:before="120" w:after="120" w:line="240" w:lineRule="auto"/>
              <w:jc w:val="both"/>
              <w:rPr>
                <w:color w:val="000000"/>
                <w:sz w:val="24"/>
                <w:szCs w:val="24"/>
                <w:lang w:eastAsia="ar-SA"/>
              </w:rPr>
            </w:pPr>
          </w:p>
        </w:tc>
        <w:tc>
          <w:tcPr>
            <w:tcW w:w="2926" w:type="dxa"/>
          </w:tcPr>
          <w:p w:rsidR="00AC6567" w:rsidRPr="00AF0FFA" w:rsidRDefault="00AC6567" w:rsidP="00483478">
            <w:pPr>
              <w:autoSpaceDE w:val="0"/>
              <w:autoSpaceDN w:val="0"/>
              <w:adjustRightInd w:val="0"/>
              <w:spacing w:before="120" w:after="120" w:line="240" w:lineRule="auto"/>
              <w:jc w:val="both"/>
              <w:rPr>
                <w:color w:val="000000"/>
                <w:sz w:val="24"/>
                <w:szCs w:val="24"/>
                <w:lang w:eastAsia="fr-FR"/>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en-GB"/>
              </w:rPr>
              <w:t xml:space="preserve">- Formation des experts marocains </w:t>
            </w:r>
          </w:p>
          <w:p w:rsidR="00AC6567" w:rsidRPr="00AF0FFA" w:rsidRDefault="00AC6567" w:rsidP="00483478">
            <w:pPr>
              <w:suppressAutoHyphens/>
              <w:spacing w:before="120" w:after="120" w:line="240" w:lineRule="auto"/>
              <w:jc w:val="both"/>
              <w:rPr>
                <w:color w:val="000000"/>
                <w:sz w:val="24"/>
                <w:szCs w:val="24"/>
                <w:lang w:eastAsia="ar-SA"/>
              </w:rPr>
            </w:pPr>
          </w:p>
        </w:tc>
        <w:tc>
          <w:tcPr>
            <w:tcW w:w="7095" w:type="dxa"/>
            <w:gridSpan w:val="2"/>
          </w:tcPr>
          <w:p w:rsidR="00AC6567" w:rsidRPr="00AF0FFA" w:rsidRDefault="00AC6567" w:rsidP="00483478">
            <w:pPr>
              <w:suppressAutoHyphens/>
              <w:spacing w:before="120" w:after="120" w:line="240" w:lineRule="auto"/>
              <w:jc w:val="both"/>
              <w:rPr>
                <w:color w:val="000000"/>
                <w:sz w:val="24"/>
                <w:szCs w:val="24"/>
                <w:lang w:eastAsia="ar-SA"/>
              </w:rPr>
            </w:pP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Rapport</w:t>
            </w:r>
            <w:r w:rsidRPr="00AF0FFA">
              <w:rPr>
                <w:color w:val="000000"/>
                <w:sz w:val="24"/>
                <w:szCs w:val="24"/>
                <w:lang w:eastAsia="ar-SA"/>
              </w:rPr>
              <w:t xml:space="preserve"> sur l</w:t>
            </w:r>
            <w:r w:rsidRPr="00AF0FFA">
              <w:rPr>
                <w:color w:val="000000"/>
                <w:sz w:val="24"/>
                <w:szCs w:val="24"/>
                <w:lang w:eastAsia="en-GB"/>
              </w:rPr>
              <w:t xml:space="preserve">’identification du bassin et l’autorité compétente </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Rapport sur l’état des lieux </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Rapport sur les questions importantes du bassin</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Rapport sur les objectifs de quelques masses d’eau </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 Rapport sur le programme de mesures </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Rapport sur le projet d’un plan de gestion pour le bassin </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xml:space="preserve"> - Supports pédagogiques pour les formations</w:t>
            </w:r>
          </w:p>
          <w:p w:rsidR="00AC6567" w:rsidRPr="00AF0FFA" w:rsidRDefault="00AC6567" w:rsidP="00483478">
            <w:pPr>
              <w:suppressAutoHyphens/>
              <w:spacing w:before="120" w:after="120" w:line="240" w:lineRule="auto"/>
              <w:jc w:val="both"/>
              <w:rPr>
                <w:color w:val="000000"/>
                <w:sz w:val="24"/>
                <w:szCs w:val="24"/>
                <w:lang w:eastAsia="en-GB"/>
              </w:rPr>
            </w:pPr>
            <w:r w:rsidRPr="00AF0FFA">
              <w:rPr>
                <w:color w:val="000000"/>
                <w:sz w:val="24"/>
                <w:szCs w:val="24"/>
                <w:lang w:eastAsia="en-GB"/>
              </w:rPr>
              <w:t>- Listes des participants aux réunions et sessions de formation</w:t>
            </w:r>
          </w:p>
          <w:p w:rsidR="00AC6567" w:rsidRPr="00AF0FFA" w:rsidRDefault="00AC6567" w:rsidP="00483478">
            <w:pPr>
              <w:suppressAutoHyphens/>
              <w:spacing w:before="120" w:after="120" w:line="240" w:lineRule="auto"/>
              <w:jc w:val="both"/>
              <w:rPr>
                <w:color w:val="000000"/>
                <w:sz w:val="24"/>
                <w:szCs w:val="24"/>
                <w:lang w:eastAsia="ar-SA"/>
              </w:rPr>
            </w:pPr>
            <w:r w:rsidRPr="00AF0FFA">
              <w:rPr>
                <w:color w:val="000000"/>
                <w:sz w:val="24"/>
                <w:szCs w:val="24"/>
                <w:lang w:eastAsia="en-GB"/>
              </w:rPr>
              <w:t>- Rapports de mission des experts</w:t>
            </w:r>
          </w:p>
        </w:tc>
      </w:tr>
      <w:tr w:rsidR="00AC6567" w:rsidRPr="00AF0FFA">
        <w:tc>
          <w:tcPr>
            <w:tcW w:w="1696" w:type="dxa"/>
            <w:shd w:val="clear" w:color="auto" w:fill="99CCFF"/>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3</w:t>
            </w:r>
            <w:r w:rsidRPr="00AF0FFA">
              <w:rPr>
                <w:b/>
                <w:bCs/>
                <w:sz w:val="24"/>
                <w:szCs w:val="24"/>
                <w:vertAlign w:val="superscript"/>
                <w:lang w:eastAsia="ar-SA"/>
              </w:rPr>
              <w:t xml:space="preserve">ème </w:t>
            </w:r>
            <w:r w:rsidRPr="00AF0FFA">
              <w:rPr>
                <w:b/>
                <w:bCs/>
                <w:sz w:val="24"/>
                <w:szCs w:val="24"/>
                <w:lang w:eastAsia="ar-SA"/>
              </w:rPr>
              <w:t>Résultat obligatoire</w:t>
            </w:r>
          </w:p>
        </w:tc>
        <w:tc>
          <w:tcPr>
            <w:tcW w:w="3984" w:type="dxa"/>
          </w:tcPr>
          <w:p w:rsidR="00AC6567" w:rsidRPr="00AF0FFA" w:rsidRDefault="00AC6567" w:rsidP="00483478">
            <w:pPr>
              <w:suppressAutoHyphens/>
              <w:spacing w:before="120" w:after="120" w:line="240" w:lineRule="auto"/>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en-GB"/>
              </w:rPr>
              <w:t>Le département de l’Eau du MEMEE dispose d’un projet de programme de convergence réglementaire dans le secteur de l’eau</w:t>
            </w:r>
          </w:p>
        </w:tc>
        <w:tc>
          <w:tcPr>
            <w:tcW w:w="2926" w:type="dxa"/>
          </w:tcPr>
          <w:p w:rsidR="00AC6567" w:rsidRPr="00AF0FFA" w:rsidRDefault="00AC6567" w:rsidP="00483478">
            <w:pPr>
              <w:autoSpaceDE w:val="0"/>
              <w:autoSpaceDN w:val="0"/>
              <w:adjustRightInd w:val="0"/>
              <w:spacing w:before="120" w:after="120" w:line="240" w:lineRule="auto"/>
              <w:jc w:val="both"/>
              <w:rPr>
                <w:color w:val="00B050"/>
                <w:sz w:val="24"/>
                <w:szCs w:val="24"/>
                <w:lang w:eastAsia="fr-FR"/>
              </w:rPr>
            </w:pPr>
          </w:p>
          <w:p w:rsidR="00AC6567" w:rsidRPr="00AF0FFA" w:rsidRDefault="00AC6567" w:rsidP="00483478">
            <w:pPr>
              <w:suppressAutoHyphens/>
              <w:spacing w:before="120" w:after="120" w:line="240" w:lineRule="auto"/>
              <w:jc w:val="both"/>
              <w:rPr>
                <w:color w:val="000000"/>
                <w:sz w:val="24"/>
                <w:szCs w:val="24"/>
                <w:lang w:eastAsia="ar-SA"/>
              </w:rPr>
            </w:pPr>
            <w:r w:rsidRPr="00AF0FFA">
              <w:rPr>
                <w:sz w:val="24"/>
                <w:szCs w:val="24"/>
                <w:lang w:eastAsia="en-GB"/>
              </w:rPr>
              <w:t xml:space="preserve">- Formation des </w:t>
            </w:r>
            <w:r w:rsidRPr="00AF0FFA">
              <w:rPr>
                <w:color w:val="000000"/>
                <w:sz w:val="24"/>
                <w:szCs w:val="24"/>
                <w:lang w:eastAsia="en-GB"/>
              </w:rPr>
              <w:t xml:space="preserve">experts marocains </w:t>
            </w:r>
          </w:p>
        </w:tc>
        <w:tc>
          <w:tcPr>
            <w:tcW w:w="7095" w:type="dxa"/>
            <w:gridSpan w:val="2"/>
          </w:tcPr>
          <w:p w:rsidR="00AC6567" w:rsidRPr="00AF0FFA" w:rsidRDefault="00AC6567" w:rsidP="00483478">
            <w:pPr>
              <w:suppressAutoHyphens/>
              <w:spacing w:before="120" w:after="120" w:line="240" w:lineRule="auto"/>
              <w:jc w:val="both"/>
              <w:rPr>
                <w:color w:val="00B050"/>
                <w:sz w:val="24"/>
                <w:szCs w:val="24"/>
                <w:lang w:eastAsia="ar-SA"/>
              </w:rPr>
            </w:pPr>
          </w:p>
          <w:p w:rsidR="00AC6567" w:rsidRPr="00AF0FFA" w:rsidRDefault="00AC6567" w:rsidP="00483478">
            <w:pPr>
              <w:suppressAutoHyphens/>
              <w:spacing w:before="120" w:after="120" w:line="240" w:lineRule="auto"/>
              <w:rPr>
                <w:sz w:val="24"/>
                <w:szCs w:val="24"/>
                <w:lang w:eastAsia="en-GB"/>
              </w:rPr>
            </w:pPr>
            <w:r w:rsidRPr="00AF0FFA">
              <w:rPr>
                <w:sz w:val="24"/>
                <w:szCs w:val="24"/>
                <w:lang w:eastAsia="en-GB"/>
              </w:rPr>
              <w:t xml:space="preserve">- Rapport sur le projet d’un programme de convergence réglementaire dans le secteur de l’eau </w:t>
            </w:r>
          </w:p>
          <w:p w:rsidR="00AC6567" w:rsidRPr="00AF0FFA" w:rsidRDefault="00AC6567" w:rsidP="00483478">
            <w:pPr>
              <w:suppressAutoHyphens/>
              <w:spacing w:before="120" w:after="120" w:line="240" w:lineRule="auto"/>
              <w:jc w:val="both"/>
              <w:rPr>
                <w:sz w:val="24"/>
                <w:szCs w:val="24"/>
                <w:lang w:eastAsia="en-GB"/>
              </w:rPr>
            </w:pPr>
            <w:r w:rsidRPr="00AF0FFA">
              <w:rPr>
                <w:sz w:val="24"/>
                <w:szCs w:val="24"/>
                <w:lang w:eastAsia="en-GB"/>
              </w:rPr>
              <w:t>- Supports pédagogiques pour les formations</w:t>
            </w:r>
          </w:p>
          <w:p w:rsidR="00AC6567" w:rsidRPr="00AF0FFA" w:rsidRDefault="00AC6567" w:rsidP="00483478">
            <w:pPr>
              <w:suppressAutoHyphens/>
              <w:spacing w:before="120" w:after="120" w:line="240" w:lineRule="auto"/>
              <w:jc w:val="both"/>
              <w:rPr>
                <w:sz w:val="24"/>
                <w:szCs w:val="24"/>
                <w:lang w:eastAsia="en-GB"/>
              </w:rPr>
            </w:pPr>
            <w:r w:rsidRPr="00AF0FFA">
              <w:rPr>
                <w:sz w:val="24"/>
                <w:szCs w:val="24"/>
                <w:lang w:eastAsia="en-GB"/>
              </w:rPr>
              <w:t>- Listes des participants aux réunions et sessions de formations</w:t>
            </w: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en-GB"/>
              </w:rPr>
              <w:t>- Rapports de mission des experts</w:t>
            </w:r>
          </w:p>
          <w:p w:rsidR="00AC6567" w:rsidRPr="00AF0FFA" w:rsidRDefault="00AC6567" w:rsidP="00483478">
            <w:pPr>
              <w:suppressAutoHyphens/>
              <w:spacing w:before="120" w:after="120" w:line="240" w:lineRule="auto"/>
              <w:jc w:val="both"/>
              <w:rPr>
                <w:sz w:val="24"/>
                <w:szCs w:val="24"/>
                <w:lang w:eastAsia="ar-SA"/>
              </w:rPr>
            </w:pPr>
          </w:p>
        </w:tc>
      </w:tr>
      <w:tr w:rsidR="00AC6567" w:rsidRPr="00AF0FFA">
        <w:tc>
          <w:tcPr>
            <w:tcW w:w="1696" w:type="dxa"/>
            <w:shd w:val="clear" w:color="auto" w:fill="99CCFF"/>
          </w:tcPr>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Activités</w:t>
            </w:r>
          </w:p>
        </w:tc>
        <w:tc>
          <w:tcPr>
            <w:tcW w:w="3984" w:type="dxa"/>
            <w:shd w:val="clear" w:color="auto" w:fill="99CCFF"/>
          </w:tcPr>
          <w:p w:rsidR="00AC6567" w:rsidRPr="00AF0FFA" w:rsidRDefault="00AC6567" w:rsidP="00483478">
            <w:pPr>
              <w:suppressAutoHyphens/>
              <w:spacing w:before="120" w:after="120" w:line="240" w:lineRule="auto"/>
              <w:jc w:val="center"/>
              <w:rPr>
                <w:b/>
                <w:bCs/>
                <w:sz w:val="24"/>
                <w:szCs w:val="24"/>
                <w:lang w:eastAsia="ar-SA"/>
              </w:rPr>
            </w:pPr>
            <w:r w:rsidRPr="00AF0FFA">
              <w:rPr>
                <w:b/>
                <w:bCs/>
                <w:sz w:val="24"/>
                <w:szCs w:val="24"/>
                <w:lang w:eastAsia="ar-SA"/>
              </w:rPr>
              <w:t>Objectif</w:t>
            </w:r>
          </w:p>
          <w:p w:rsidR="00AC6567" w:rsidRPr="00AF0FFA" w:rsidRDefault="00AC6567" w:rsidP="00483478">
            <w:pPr>
              <w:suppressAutoHyphens/>
              <w:spacing w:before="120" w:after="120" w:line="240" w:lineRule="auto"/>
              <w:jc w:val="center"/>
              <w:rPr>
                <w:b/>
                <w:bCs/>
                <w:sz w:val="24"/>
                <w:szCs w:val="24"/>
                <w:lang w:eastAsia="ar-SA"/>
              </w:rPr>
            </w:pPr>
          </w:p>
        </w:tc>
        <w:tc>
          <w:tcPr>
            <w:tcW w:w="2926" w:type="dxa"/>
            <w:shd w:val="clear" w:color="auto" w:fill="99CCFF"/>
          </w:tcPr>
          <w:p w:rsidR="00AC6567" w:rsidRPr="00AF0FFA" w:rsidRDefault="00AC6567" w:rsidP="00483478">
            <w:pPr>
              <w:suppressAutoHyphens/>
              <w:spacing w:before="120" w:after="120" w:line="240" w:lineRule="auto"/>
              <w:jc w:val="center"/>
              <w:rPr>
                <w:sz w:val="24"/>
                <w:szCs w:val="24"/>
                <w:lang w:eastAsia="ar-SA"/>
              </w:rPr>
            </w:pPr>
            <w:r w:rsidRPr="00AF0FFA">
              <w:rPr>
                <w:b/>
                <w:bCs/>
                <w:sz w:val="24"/>
                <w:szCs w:val="24"/>
                <w:lang w:eastAsia="ar-SA"/>
              </w:rPr>
              <w:t>Cible, moyen</w:t>
            </w:r>
            <w:r w:rsidRPr="00AF0FFA">
              <w:rPr>
                <w:sz w:val="24"/>
                <w:szCs w:val="24"/>
                <w:lang w:eastAsia="ar-SA"/>
              </w:rPr>
              <w:t xml:space="preserve"> </w:t>
            </w:r>
          </w:p>
          <w:p w:rsidR="00AC6567" w:rsidRPr="00AF0FFA" w:rsidRDefault="00AC6567" w:rsidP="00483478">
            <w:pPr>
              <w:suppressAutoHyphens/>
              <w:spacing w:before="120" w:after="120" w:line="240" w:lineRule="auto"/>
              <w:jc w:val="center"/>
              <w:rPr>
                <w:b/>
                <w:bCs/>
                <w:sz w:val="24"/>
                <w:szCs w:val="24"/>
                <w:lang w:eastAsia="ar-SA"/>
              </w:rPr>
            </w:pPr>
          </w:p>
        </w:tc>
        <w:tc>
          <w:tcPr>
            <w:tcW w:w="7095" w:type="dxa"/>
            <w:gridSpan w:val="2"/>
            <w:shd w:val="clear" w:color="auto" w:fill="99CCFF"/>
          </w:tcPr>
          <w:p w:rsidR="00AC6567" w:rsidRPr="00AF0FFA" w:rsidRDefault="00AC6567" w:rsidP="00483478">
            <w:pPr>
              <w:suppressAutoHyphens/>
              <w:spacing w:before="120" w:after="120" w:line="240" w:lineRule="auto"/>
              <w:jc w:val="center"/>
              <w:rPr>
                <w:b/>
                <w:bCs/>
                <w:sz w:val="24"/>
                <w:szCs w:val="24"/>
                <w:lang w:eastAsia="ar-SA"/>
              </w:rPr>
            </w:pPr>
            <w:r w:rsidRPr="00AF0FFA">
              <w:rPr>
                <w:b/>
                <w:bCs/>
                <w:sz w:val="24"/>
                <w:szCs w:val="24"/>
                <w:lang w:eastAsia="ar-SA"/>
              </w:rPr>
              <w:t xml:space="preserve">Hypothèses </w:t>
            </w:r>
          </w:p>
        </w:tc>
      </w:tr>
      <w:tr w:rsidR="00AC6567" w:rsidRPr="00AF0FFA">
        <w:tc>
          <w:tcPr>
            <w:tcW w:w="15701" w:type="dxa"/>
            <w:gridSpan w:val="5"/>
            <w:shd w:val="clear" w:color="auto" w:fill="DAEEF3"/>
          </w:tcPr>
          <w:p w:rsidR="00AC6567" w:rsidRPr="00AF0FFA" w:rsidRDefault="00AC6567" w:rsidP="00483478">
            <w:pPr>
              <w:suppressAutoHyphens/>
              <w:spacing w:before="120" w:after="120" w:line="240" w:lineRule="auto"/>
              <w:jc w:val="both"/>
              <w:rPr>
                <w:b/>
                <w:bCs/>
                <w:sz w:val="24"/>
                <w:szCs w:val="24"/>
                <w:lang w:eastAsia="ar-SA"/>
              </w:rPr>
            </w:pPr>
            <w:r w:rsidRPr="00AF0FFA">
              <w:rPr>
                <w:b/>
                <w:bCs/>
                <w:sz w:val="24"/>
                <w:szCs w:val="24"/>
                <w:lang w:eastAsia="ar-SA"/>
              </w:rPr>
              <w:t xml:space="preserve">Composante 0 : Conférences de lancement et de clôture </w:t>
            </w:r>
          </w:p>
        </w:tc>
      </w:tr>
      <w:tr w:rsidR="00AC6567" w:rsidRPr="00AF0FFA">
        <w:tc>
          <w:tcPr>
            <w:tcW w:w="1696" w:type="dxa"/>
            <w:shd w:val="clear" w:color="auto" w:fill="B8CCE4"/>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Activité 0.1</w:t>
            </w:r>
          </w:p>
        </w:tc>
        <w:tc>
          <w:tcPr>
            <w:tcW w:w="3984" w:type="dxa"/>
          </w:tcPr>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Organisation d'une conférence de lancement</w:t>
            </w:r>
          </w:p>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p>
        </w:tc>
        <w:tc>
          <w:tcPr>
            <w:tcW w:w="2926" w:type="dxa"/>
          </w:tcPr>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Cible : Institutions et Médias</w:t>
            </w: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Moyen : 5 h/j</w:t>
            </w:r>
          </w:p>
          <w:p w:rsidR="00AC6567" w:rsidRPr="00AF0FFA" w:rsidRDefault="00AC6567" w:rsidP="00483478">
            <w:pPr>
              <w:suppressAutoHyphens/>
              <w:spacing w:before="120" w:after="120" w:line="240" w:lineRule="auto"/>
              <w:jc w:val="both"/>
              <w:rPr>
                <w:sz w:val="24"/>
                <w:szCs w:val="24"/>
                <w:lang w:eastAsia="ar-SA"/>
              </w:rPr>
            </w:pPr>
          </w:p>
        </w:tc>
        <w:tc>
          <w:tcPr>
            <w:tcW w:w="7095" w:type="dxa"/>
            <w:gridSpan w:val="2"/>
          </w:tcPr>
          <w:p w:rsidR="00AC6567" w:rsidRPr="00AF0FFA" w:rsidRDefault="00AC6567" w:rsidP="00483478">
            <w:pPr>
              <w:suppressAutoHyphens/>
              <w:spacing w:before="120" w:after="120" w:line="240" w:lineRule="auto"/>
              <w:rPr>
                <w:sz w:val="24"/>
                <w:szCs w:val="24"/>
                <w:lang w:eastAsia="ar-SA"/>
              </w:rPr>
            </w:pPr>
            <w:r w:rsidRPr="00AF0FFA">
              <w:rPr>
                <w:sz w:val="24"/>
                <w:szCs w:val="24"/>
                <w:lang w:eastAsia="ar-SA"/>
              </w:rPr>
              <w:t xml:space="preserve">- </w:t>
            </w:r>
          </w:p>
          <w:p w:rsidR="00AC6567" w:rsidRPr="00AF0FFA" w:rsidRDefault="00AC6567" w:rsidP="00483478">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Activité 0.2</w:t>
            </w:r>
          </w:p>
        </w:tc>
        <w:tc>
          <w:tcPr>
            <w:tcW w:w="3984" w:type="dxa"/>
          </w:tcPr>
          <w:p w:rsidR="00AC6567" w:rsidRPr="00AF0FFA" w:rsidRDefault="00AC6567" w:rsidP="00483478">
            <w:pPr>
              <w:spacing w:before="120" w:after="120" w:line="240" w:lineRule="auto"/>
              <w:rPr>
                <w:sz w:val="24"/>
                <w:szCs w:val="24"/>
                <w:lang w:eastAsia="ar-SA"/>
              </w:rPr>
            </w:pPr>
            <w:r w:rsidRPr="00AF0FFA">
              <w:rPr>
                <w:sz w:val="24"/>
                <w:szCs w:val="24"/>
                <w:lang w:eastAsia="ar-SA"/>
              </w:rPr>
              <w:t>Organisation d'une conférence à mi-parcours</w:t>
            </w:r>
          </w:p>
          <w:p w:rsidR="00AC6567" w:rsidRPr="00AF0FFA" w:rsidRDefault="00AC6567" w:rsidP="00483478">
            <w:pPr>
              <w:suppressAutoHyphens/>
              <w:spacing w:before="120" w:after="120" w:line="240" w:lineRule="auto"/>
              <w:jc w:val="both"/>
              <w:rPr>
                <w:sz w:val="24"/>
                <w:szCs w:val="24"/>
                <w:lang w:eastAsia="ar-SA"/>
              </w:rPr>
            </w:pPr>
          </w:p>
        </w:tc>
        <w:tc>
          <w:tcPr>
            <w:tcW w:w="2926" w:type="dxa"/>
          </w:tcPr>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Cible : Institutions et Médias</w:t>
            </w: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Moyen : 5 h/j</w:t>
            </w:r>
          </w:p>
        </w:tc>
        <w:tc>
          <w:tcPr>
            <w:tcW w:w="7095" w:type="dxa"/>
            <w:gridSpan w:val="2"/>
          </w:tcPr>
          <w:p w:rsidR="00AC6567" w:rsidRPr="00AF0FFA" w:rsidRDefault="00AC6567" w:rsidP="00483478">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Activité 0.3</w:t>
            </w:r>
          </w:p>
        </w:tc>
        <w:tc>
          <w:tcPr>
            <w:tcW w:w="3984" w:type="dxa"/>
          </w:tcPr>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Organisation d'</w:t>
            </w:r>
            <w:r w:rsidRPr="00AF0FFA" w:rsidDel="007842C8">
              <w:rPr>
                <w:sz w:val="24"/>
                <w:szCs w:val="24"/>
                <w:lang w:eastAsia="ar-SA"/>
              </w:rPr>
              <w:t xml:space="preserve"> </w:t>
            </w:r>
            <w:r w:rsidRPr="00AF0FFA">
              <w:rPr>
                <w:sz w:val="24"/>
                <w:szCs w:val="24"/>
                <w:lang w:eastAsia="ar-SA"/>
              </w:rPr>
              <w:t>une conférence de clôture</w:t>
            </w:r>
          </w:p>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p>
        </w:tc>
        <w:tc>
          <w:tcPr>
            <w:tcW w:w="2926" w:type="dxa"/>
          </w:tcPr>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Cible : Institutions et Médias</w:t>
            </w: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Moyen : 5 h/j</w:t>
            </w:r>
          </w:p>
          <w:p w:rsidR="00AC6567" w:rsidRPr="00AF0FFA" w:rsidRDefault="00AC6567" w:rsidP="00483478">
            <w:pPr>
              <w:suppressAutoHyphens/>
              <w:spacing w:before="120" w:after="120" w:line="240" w:lineRule="auto"/>
              <w:jc w:val="both"/>
              <w:rPr>
                <w:sz w:val="24"/>
                <w:szCs w:val="24"/>
                <w:lang w:eastAsia="ar-SA"/>
              </w:rPr>
            </w:pPr>
          </w:p>
        </w:tc>
        <w:tc>
          <w:tcPr>
            <w:tcW w:w="7095" w:type="dxa"/>
            <w:gridSpan w:val="2"/>
          </w:tcPr>
          <w:p w:rsidR="00AC6567" w:rsidRPr="00AF0FFA" w:rsidRDefault="00AC6567" w:rsidP="00483478">
            <w:pPr>
              <w:suppressAutoHyphens/>
              <w:spacing w:before="120" w:after="120" w:line="240" w:lineRule="auto"/>
              <w:rPr>
                <w:sz w:val="24"/>
                <w:szCs w:val="24"/>
                <w:lang w:eastAsia="ar-SA"/>
              </w:rPr>
            </w:pPr>
          </w:p>
          <w:p w:rsidR="00AC6567" w:rsidRPr="00AF0FFA" w:rsidRDefault="00AC6567" w:rsidP="00483478">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5701" w:type="dxa"/>
            <w:gridSpan w:val="5"/>
            <w:shd w:val="clear" w:color="auto" w:fill="DAEEF3"/>
          </w:tcPr>
          <w:p w:rsidR="00AC6567" w:rsidRPr="00AF0FFA" w:rsidRDefault="00AC6567" w:rsidP="00483478">
            <w:pPr>
              <w:suppressAutoHyphens/>
              <w:spacing w:before="120" w:after="120" w:line="240" w:lineRule="auto"/>
              <w:jc w:val="both"/>
              <w:rPr>
                <w:b/>
                <w:bCs/>
                <w:sz w:val="24"/>
                <w:szCs w:val="24"/>
                <w:lang w:eastAsia="ar-SA"/>
              </w:rPr>
            </w:pPr>
            <w:r w:rsidRPr="00AF0FFA">
              <w:rPr>
                <w:b/>
                <w:bCs/>
                <w:sz w:val="24"/>
                <w:szCs w:val="24"/>
                <w:lang w:eastAsia="ar-SA"/>
              </w:rPr>
              <w:t xml:space="preserve">Composante 1 : </w:t>
            </w:r>
            <w:r w:rsidRPr="00AF0FFA">
              <w:rPr>
                <w:b/>
                <w:bCs/>
                <w:sz w:val="24"/>
                <w:szCs w:val="24"/>
                <w:lang w:eastAsia="en-GB"/>
              </w:rPr>
              <w:t>Analyse de l’écart juridique et institutionnel</w:t>
            </w:r>
          </w:p>
        </w:tc>
      </w:tr>
      <w:tr w:rsidR="00AC6567" w:rsidRPr="00AF0FFA">
        <w:tc>
          <w:tcPr>
            <w:tcW w:w="1696" w:type="dxa"/>
            <w:shd w:val="clear" w:color="auto" w:fill="B8CCE4"/>
          </w:tcPr>
          <w:p w:rsidR="00AC6567" w:rsidRPr="00AF0FFA" w:rsidRDefault="00AC6567" w:rsidP="00483478">
            <w:pPr>
              <w:suppressAutoHyphens/>
              <w:spacing w:before="120" w:after="120" w:line="240" w:lineRule="auto"/>
              <w:rPr>
                <w:b/>
                <w:bCs/>
                <w:sz w:val="24"/>
                <w:szCs w:val="24"/>
                <w:lang w:eastAsia="ar-SA"/>
              </w:rPr>
            </w:pPr>
          </w:p>
          <w:p w:rsidR="00AC6567" w:rsidRPr="00AF0FFA" w:rsidRDefault="00AC6567" w:rsidP="00483478">
            <w:pPr>
              <w:suppressAutoHyphens/>
              <w:spacing w:before="120" w:after="120" w:line="240" w:lineRule="auto"/>
              <w:rPr>
                <w:b/>
                <w:bCs/>
                <w:sz w:val="24"/>
                <w:szCs w:val="24"/>
                <w:lang w:eastAsia="ar-SA"/>
              </w:rPr>
            </w:pPr>
            <w:r w:rsidRPr="00AF0FFA">
              <w:rPr>
                <w:b/>
                <w:bCs/>
                <w:sz w:val="24"/>
                <w:szCs w:val="24"/>
                <w:lang w:eastAsia="ar-SA"/>
              </w:rPr>
              <w:t>Activité 1.1</w:t>
            </w:r>
          </w:p>
        </w:tc>
        <w:tc>
          <w:tcPr>
            <w:tcW w:w="3984" w:type="dxa"/>
          </w:tcPr>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rPr>
                <w:sz w:val="24"/>
                <w:szCs w:val="24"/>
                <w:lang w:eastAsia="ar-SA"/>
              </w:rPr>
            </w:pPr>
            <w:r w:rsidRPr="00AF0FFA">
              <w:rPr>
                <w:color w:val="000000"/>
                <w:sz w:val="24"/>
                <w:szCs w:val="24"/>
                <w:lang w:eastAsia="en-GB"/>
              </w:rPr>
              <w:t>Sensibilisation à la Directive Cadre de l’Eau</w:t>
            </w:r>
          </w:p>
        </w:tc>
        <w:tc>
          <w:tcPr>
            <w:tcW w:w="2926" w:type="dxa"/>
          </w:tcPr>
          <w:p w:rsidR="00AC6567" w:rsidRPr="00AF0FFA" w:rsidRDefault="00AC6567" w:rsidP="00483478">
            <w:pPr>
              <w:suppressAutoHyphens/>
              <w:spacing w:before="120" w:after="120" w:line="240" w:lineRule="auto"/>
              <w:jc w:val="both"/>
              <w:rPr>
                <w:sz w:val="24"/>
                <w:szCs w:val="24"/>
                <w:lang w:eastAsia="ar-SA"/>
              </w:rPr>
            </w:pP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483478">
            <w:pPr>
              <w:suppressAutoHyphens/>
              <w:spacing w:before="120" w:after="120" w:line="240" w:lineRule="auto"/>
              <w:jc w:val="both"/>
              <w:rPr>
                <w:sz w:val="24"/>
                <w:szCs w:val="24"/>
                <w:lang w:eastAsia="ar-SA"/>
              </w:rPr>
            </w:pPr>
            <w:r w:rsidRPr="00AF0FFA">
              <w:rPr>
                <w:sz w:val="24"/>
                <w:szCs w:val="24"/>
                <w:lang w:eastAsia="ar-SA"/>
              </w:rPr>
              <w:t>Moyen : 20 h/j (2 experts)</w:t>
            </w:r>
          </w:p>
          <w:p w:rsidR="00AC6567" w:rsidRPr="00AF0FFA" w:rsidRDefault="00AC6567" w:rsidP="00483478">
            <w:pPr>
              <w:suppressAutoHyphens/>
              <w:spacing w:before="120" w:after="120" w:line="240" w:lineRule="auto"/>
              <w:jc w:val="both"/>
              <w:rPr>
                <w:b/>
                <w:bCs/>
                <w:sz w:val="24"/>
                <w:szCs w:val="24"/>
                <w:lang w:eastAsia="ar-SA"/>
              </w:rPr>
            </w:pPr>
          </w:p>
        </w:tc>
        <w:tc>
          <w:tcPr>
            <w:tcW w:w="7095" w:type="dxa"/>
            <w:gridSpan w:val="2"/>
          </w:tcPr>
          <w:p w:rsidR="00AC6567" w:rsidRPr="00AF0FFA" w:rsidRDefault="00AC6567" w:rsidP="00483478">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1.2</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en-GB"/>
              </w:rPr>
              <w:t>Analyse de la législation marocaine et de la Directive Cadre de l’Eau</w:t>
            </w:r>
          </w:p>
        </w:tc>
        <w:tc>
          <w:tcPr>
            <w:tcW w:w="2926"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20 h/j (2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1.3</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en-GB"/>
              </w:rPr>
              <w:t>Analyse de l’écart institutionnel entre le Maroc et l’UE</w:t>
            </w:r>
          </w:p>
          <w:p w:rsidR="00AC6567" w:rsidRPr="00AF0FFA" w:rsidRDefault="00AC6567" w:rsidP="006D3C0F">
            <w:pPr>
              <w:suppressAutoHyphens/>
              <w:spacing w:before="120" w:after="120" w:line="240" w:lineRule="auto"/>
              <w:jc w:val="both"/>
              <w:rPr>
                <w:sz w:val="24"/>
                <w:szCs w:val="24"/>
                <w:lang w:eastAsia="ar-SA"/>
              </w:rPr>
            </w:pPr>
          </w:p>
        </w:tc>
        <w:tc>
          <w:tcPr>
            <w:tcW w:w="2926"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20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1.4</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en-GB"/>
              </w:rPr>
              <w:t xml:space="preserve">Réalisation d’une visite d’étude sur la mise en œuvre de la </w:t>
            </w:r>
            <w:r w:rsidRPr="00AF0FFA">
              <w:rPr>
                <w:color w:val="000000"/>
                <w:sz w:val="24"/>
                <w:szCs w:val="24"/>
                <w:lang w:eastAsia="en-GB"/>
              </w:rPr>
              <w:t xml:space="preserve">Directive Cadre de l’Eau </w:t>
            </w:r>
          </w:p>
        </w:tc>
        <w:tc>
          <w:tcPr>
            <w:tcW w:w="2926"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10 participants marocains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5701" w:type="dxa"/>
            <w:gridSpan w:val="5"/>
            <w:shd w:val="clear" w:color="auto" w:fill="DAEEF3"/>
          </w:tcPr>
          <w:p w:rsidR="00AC6567" w:rsidRPr="00AF0FFA" w:rsidRDefault="00AC6567" w:rsidP="006D3C0F">
            <w:pPr>
              <w:suppressAutoHyphens/>
              <w:spacing w:before="120" w:after="120" w:line="240" w:lineRule="auto"/>
              <w:jc w:val="both"/>
              <w:rPr>
                <w:b/>
                <w:bCs/>
                <w:sz w:val="24"/>
                <w:szCs w:val="24"/>
                <w:lang w:eastAsia="ar-SA"/>
              </w:rPr>
            </w:pPr>
            <w:r w:rsidRPr="00AF0FFA">
              <w:rPr>
                <w:b/>
                <w:bCs/>
                <w:sz w:val="24"/>
                <w:szCs w:val="24"/>
                <w:lang w:eastAsia="ar-SA"/>
              </w:rPr>
              <w:t xml:space="preserve">Composante 2 : Projet de </w:t>
            </w:r>
            <w:r w:rsidRPr="00AF0FFA">
              <w:rPr>
                <w:b/>
                <w:bCs/>
                <w:sz w:val="24"/>
                <w:szCs w:val="24"/>
                <w:lang w:eastAsia="en-GB"/>
              </w:rPr>
              <w:t>Plan de gestion pour un bassin hydraulique du Maroc</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Identification du bassin hydraulique et de l’autorité compétente</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(1 expert)</w:t>
            </w:r>
          </w:p>
        </w:tc>
        <w:tc>
          <w:tcPr>
            <w:tcW w:w="7095" w:type="dxa"/>
            <w:gridSpan w:val="2"/>
          </w:tcPr>
          <w:p w:rsidR="00AC6567" w:rsidRPr="00AF0FFA" w:rsidRDefault="00AC6567" w:rsidP="006D3C0F">
            <w:pPr>
              <w:suppressAutoHyphens/>
              <w:spacing w:before="120" w:after="120" w:line="240" w:lineRule="auto"/>
              <w:rPr>
                <w:color w:val="00B050"/>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2.2.</w:t>
            </w:r>
          </w:p>
        </w:tc>
        <w:tc>
          <w:tcPr>
            <w:tcW w:w="3984" w:type="dxa"/>
          </w:tcPr>
          <w:p w:rsidR="00AC6567" w:rsidRPr="00AF0FFA" w:rsidRDefault="00AC6567" w:rsidP="000A2584">
            <w:pPr>
              <w:suppressAutoHyphens/>
              <w:spacing w:before="120" w:after="120" w:line="240" w:lineRule="auto"/>
              <w:jc w:val="both"/>
              <w:rPr>
                <w:sz w:val="24"/>
                <w:szCs w:val="24"/>
                <w:lang w:eastAsia="ar-SA"/>
              </w:rPr>
            </w:pPr>
            <w:r w:rsidRPr="00AF0FFA">
              <w:rPr>
                <w:sz w:val="24"/>
                <w:szCs w:val="24"/>
                <w:lang w:eastAsia="ar-SA"/>
              </w:rPr>
              <w:t>Développement d’un système pour la gestion et l’analyse des informations pour le projet du plan de gestion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(2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2.3</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Identification des masses d’eau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20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2.4</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Elaboration d’une analyse économique du bassin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20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rPr>
          <w:trHeight w:val="1197"/>
        </w:trPr>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2.5</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Analyse des pressions des masses d’eau du bassin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30 h/j (3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2.6</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Développement d’une typologie pour le bassin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40 h/j (4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2.7</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Réalisation d’un registre des zones protégées</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2.8</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Réalisation d’un scénario « Baseline »</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2.9</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Estimation des objectifs pour les masses d’eau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2.10</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Réalisation d’un programme de surveillance dans le bassin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20 h/j (4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2.11</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Réalisation d’</w:t>
            </w:r>
            <w:r w:rsidRPr="00AF0FFA" w:rsidDel="007842C8">
              <w:rPr>
                <w:sz w:val="24"/>
                <w:szCs w:val="24"/>
                <w:lang w:eastAsia="ar-SA"/>
              </w:rPr>
              <w:t xml:space="preserve"> </w:t>
            </w:r>
            <w:r w:rsidRPr="00AF0FFA">
              <w:rPr>
                <w:sz w:val="24"/>
                <w:szCs w:val="24"/>
                <w:lang w:eastAsia="ar-SA"/>
              </w:rPr>
              <w:t>une formation sur la surveillance du bassin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40 h/j (4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2.12</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Elaboration de l’état des lieux du bassin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20 h/j (4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2.13</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Information et consultation du public</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2.14</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Définition des questions clé pour le bassin</w:t>
            </w:r>
          </w:p>
        </w:tc>
        <w:tc>
          <w:tcPr>
            <w:tcW w:w="2926"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l’ABH et de la DRPE</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2.15</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Définition des objectifs relatifs à une masse d’eau artificielle et à une masse d’eau fortement modifiée</w:t>
            </w:r>
          </w:p>
        </w:tc>
        <w:tc>
          <w:tcPr>
            <w:tcW w:w="2926"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l’ABH et de la DRPE</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 xml:space="preserve">Moyen : 10 h/j (2 experts) </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2.16</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en-GB"/>
              </w:rPr>
              <w:t>Définition d'un programme de mesures pour le bassin pilote</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40 h/j (4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2.17</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Information et consultation du</w:t>
            </w:r>
            <w:r w:rsidRPr="00AF0FFA" w:rsidDel="007842C8">
              <w:rPr>
                <w:sz w:val="24"/>
                <w:szCs w:val="24"/>
                <w:lang w:eastAsia="ar-SA"/>
              </w:rPr>
              <w:t xml:space="preserve"> </w:t>
            </w:r>
            <w:r w:rsidRPr="00AF0FFA">
              <w:rPr>
                <w:sz w:val="24"/>
                <w:szCs w:val="24"/>
                <w:lang w:eastAsia="ar-SA"/>
              </w:rPr>
              <w:t>le public sur le programme des mesures</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2.18</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B510C2">
            <w:pPr>
              <w:suppressAutoHyphens/>
              <w:spacing w:before="120" w:after="120" w:line="240" w:lineRule="auto"/>
              <w:jc w:val="both"/>
              <w:rPr>
                <w:sz w:val="24"/>
                <w:szCs w:val="24"/>
                <w:lang w:eastAsia="ar-SA"/>
              </w:rPr>
            </w:pPr>
            <w:r w:rsidRPr="00AF0FFA">
              <w:rPr>
                <w:sz w:val="24"/>
                <w:szCs w:val="24"/>
              </w:rPr>
              <w:t>Elaboration d'un projet de plan de gestion pour le bassin pilote</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2.19</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Information et consultation du public sur le projet du plan de gestion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10 h/j (2 experts)</w:t>
            </w:r>
          </w:p>
          <w:p w:rsidR="00AC6567" w:rsidRPr="00AF0FFA" w:rsidRDefault="00AC6567" w:rsidP="006D3C0F">
            <w:pPr>
              <w:suppressAutoHyphens/>
              <w:spacing w:before="120" w:after="120" w:line="240" w:lineRule="auto"/>
              <w:jc w:val="both"/>
              <w:rPr>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2.20</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Elaboration de manuels et guides méthodologiques pour le plan de gestion</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40 h/j (8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2.21</w:t>
            </w:r>
          </w:p>
        </w:tc>
        <w:tc>
          <w:tcPr>
            <w:tcW w:w="3984"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Visite d’étude</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10 participants marocains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2.22</w:t>
            </w:r>
          </w:p>
        </w:tc>
        <w:tc>
          <w:tcPr>
            <w:tcW w:w="3984"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Formation des formateurs</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20 h/j (4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5701" w:type="dxa"/>
            <w:gridSpan w:val="5"/>
            <w:shd w:val="clear" w:color="auto" w:fill="DAEEF3"/>
          </w:tcPr>
          <w:p w:rsidR="00AC6567" w:rsidRPr="00AF0FFA" w:rsidRDefault="00AC6567" w:rsidP="006D3C0F">
            <w:pPr>
              <w:suppressAutoHyphens/>
              <w:spacing w:before="120" w:after="120" w:line="240" w:lineRule="auto"/>
              <w:jc w:val="both"/>
              <w:rPr>
                <w:b/>
                <w:bCs/>
                <w:sz w:val="24"/>
                <w:szCs w:val="24"/>
                <w:lang w:eastAsia="ar-SA"/>
              </w:rPr>
            </w:pPr>
            <w:r w:rsidRPr="00AF0FFA">
              <w:rPr>
                <w:b/>
                <w:bCs/>
                <w:sz w:val="24"/>
                <w:szCs w:val="24"/>
                <w:lang w:eastAsia="ar-SA"/>
              </w:rPr>
              <w:t xml:space="preserve">Composante 3 : Programme national pour la convergence réglementaire dans le secteur l’eau </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3.1</w:t>
            </w:r>
          </w:p>
        </w:tc>
        <w:tc>
          <w:tcPr>
            <w:tcW w:w="3984" w:type="dxa"/>
          </w:tcPr>
          <w:p w:rsidR="00AC6567" w:rsidRPr="00AF0FFA" w:rsidRDefault="00AC6567" w:rsidP="006D3C0F">
            <w:pPr>
              <w:suppressAutoHyphens/>
              <w:spacing w:before="120" w:after="120" w:line="240" w:lineRule="auto"/>
              <w:jc w:val="both"/>
              <w:rPr>
                <w:b/>
                <w:bCs/>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Définition des contours du programme national de convergence réglementaire dans le secteur de l’eau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10 h/j (2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3.2</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Inventaire des informations existantes</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b/>
                <w:bCs/>
                <w:sz w:val="24"/>
                <w:szCs w:val="24"/>
                <w:lang w:eastAsia="ar-SA"/>
              </w:rPr>
            </w:pPr>
            <w:r w:rsidRPr="00AF0FFA">
              <w:rPr>
                <w:sz w:val="24"/>
                <w:szCs w:val="24"/>
                <w:lang w:eastAsia="ar-SA"/>
              </w:rPr>
              <w:t>Moyen : 10 h/j (2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3.3</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 xml:space="preserve">Estimation des coûts liés à la mise en œuvre du </w:t>
            </w:r>
            <w:r w:rsidRPr="00AF0FFA">
              <w:rPr>
                <w:sz w:val="24"/>
                <w:szCs w:val="24"/>
              </w:rPr>
              <w:t>programme national de convergence réglementaire dans le secteur de l’eau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b/>
                <w:bCs/>
                <w:sz w:val="24"/>
                <w:szCs w:val="24"/>
                <w:lang w:eastAsia="ar-SA"/>
              </w:rPr>
            </w:pPr>
            <w:r w:rsidRPr="00AF0FFA">
              <w:rPr>
                <w:sz w:val="24"/>
                <w:szCs w:val="24"/>
                <w:lang w:eastAsia="ar-SA"/>
              </w:rPr>
              <w:t>Moyen : 10 h/j (2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3.4</w:t>
            </w:r>
          </w:p>
        </w:tc>
        <w:tc>
          <w:tcPr>
            <w:tcW w:w="3984"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rPr>
              <w:t>Elaboration et mise en œuvre d’un plan de formation sur le programme de convergence réglementaire dans le secteur de l’eau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10 h/j (2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3.5</w:t>
            </w:r>
          </w:p>
        </w:tc>
        <w:tc>
          <w:tcPr>
            <w:tcW w:w="3984"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 xml:space="preserve">Elaboration du </w:t>
            </w:r>
            <w:r w:rsidRPr="00AF0FFA">
              <w:rPr>
                <w:sz w:val="24"/>
                <w:szCs w:val="24"/>
              </w:rPr>
              <w:t>programme national de convergence réglementaire dans le secteur de l’eau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10 h/j (2 experts)</w:t>
            </w:r>
          </w:p>
          <w:p w:rsidR="00AC6567" w:rsidRPr="00AF0FFA" w:rsidRDefault="00AC6567" w:rsidP="006D3C0F">
            <w:pPr>
              <w:suppressAutoHyphens/>
              <w:spacing w:before="120" w:after="120" w:line="240" w:lineRule="auto"/>
              <w:jc w:val="both"/>
              <w:rPr>
                <w:b/>
                <w:bCs/>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3.6</w:t>
            </w:r>
          </w:p>
        </w:tc>
        <w:tc>
          <w:tcPr>
            <w:tcW w:w="3984" w:type="dxa"/>
          </w:tcPr>
          <w:p w:rsidR="00AC6567" w:rsidRPr="00AF0FFA" w:rsidRDefault="00AC6567" w:rsidP="00B510C2">
            <w:pPr>
              <w:suppressAutoHyphens/>
              <w:spacing w:before="120" w:after="120" w:line="240" w:lineRule="auto"/>
              <w:jc w:val="both"/>
              <w:rPr>
                <w:sz w:val="24"/>
                <w:szCs w:val="24"/>
                <w:lang w:eastAsia="ar-SA"/>
              </w:rPr>
            </w:pPr>
            <w:r w:rsidRPr="00AF0FFA">
              <w:rPr>
                <w:sz w:val="24"/>
                <w:szCs w:val="24"/>
                <w:lang w:eastAsia="ar-SA"/>
              </w:rPr>
              <w:t>Réalisation d'une conférence sur le programme de convergence réglementaire  dans le secteur de l’eau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Cadres de la DRPE et les bassins hydrauliques</w:t>
            </w:r>
          </w:p>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Moyen : 10 h/j (2 experts)</w:t>
            </w: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r w:rsidR="00AC6567" w:rsidRPr="00AF0FFA">
        <w:tc>
          <w:tcPr>
            <w:tcW w:w="1696" w:type="dxa"/>
            <w:shd w:val="clear" w:color="auto" w:fill="B8CCE4"/>
          </w:tcPr>
          <w:p w:rsidR="00AC6567" w:rsidRPr="00AF0FFA" w:rsidRDefault="00AC6567" w:rsidP="006D3C0F">
            <w:pPr>
              <w:suppressAutoHyphens/>
              <w:spacing w:before="120" w:after="120" w:line="240" w:lineRule="auto"/>
              <w:rPr>
                <w:b/>
                <w:bCs/>
                <w:sz w:val="24"/>
                <w:szCs w:val="24"/>
                <w:lang w:eastAsia="ar-SA"/>
              </w:rPr>
            </w:pPr>
          </w:p>
          <w:p w:rsidR="00AC6567" w:rsidRPr="00AF0FFA" w:rsidRDefault="00AC6567" w:rsidP="006D3C0F">
            <w:pPr>
              <w:suppressAutoHyphens/>
              <w:spacing w:before="120" w:after="120" w:line="240" w:lineRule="auto"/>
              <w:rPr>
                <w:b/>
                <w:bCs/>
                <w:sz w:val="24"/>
                <w:szCs w:val="24"/>
                <w:lang w:eastAsia="ar-SA"/>
              </w:rPr>
            </w:pPr>
            <w:r w:rsidRPr="00AF0FFA">
              <w:rPr>
                <w:b/>
                <w:bCs/>
                <w:sz w:val="24"/>
                <w:szCs w:val="24"/>
                <w:lang w:eastAsia="ar-SA"/>
              </w:rPr>
              <w:t>Activité 3.7</w:t>
            </w:r>
          </w:p>
        </w:tc>
        <w:tc>
          <w:tcPr>
            <w:tcW w:w="3984" w:type="dxa"/>
          </w:tcPr>
          <w:p w:rsidR="00AC6567" w:rsidRPr="00AF0FFA" w:rsidRDefault="00AC6567" w:rsidP="006D3C0F">
            <w:pPr>
              <w:suppressAutoHyphens/>
              <w:spacing w:before="120" w:after="120" w:line="240" w:lineRule="auto"/>
              <w:jc w:val="both"/>
              <w:rPr>
                <w:sz w:val="24"/>
                <w:szCs w:val="24"/>
                <w:lang w:eastAsia="ar-SA"/>
              </w:rPr>
            </w:pPr>
          </w:p>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en-GB"/>
              </w:rPr>
              <w:t xml:space="preserve">Réalisation d’une visite d’étude sur la mise en œuvre de la </w:t>
            </w:r>
            <w:r w:rsidRPr="00AF0FFA">
              <w:rPr>
                <w:color w:val="000000"/>
                <w:sz w:val="24"/>
                <w:szCs w:val="24"/>
                <w:lang w:eastAsia="en-GB"/>
              </w:rPr>
              <w:t>Directive Cadre de l’Eau</w:t>
            </w:r>
          </w:p>
        </w:tc>
        <w:tc>
          <w:tcPr>
            <w:tcW w:w="2926"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Cible : 10 participants marocains</w:t>
            </w:r>
          </w:p>
          <w:p w:rsidR="00AC6567" w:rsidRPr="00AF0FFA" w:rsidRDefault="00AC6567" w:rsidP="006D3C0F">
            <w:pPr>
              <w:suppressAutoHyphens/>
              <w:spacing w:before="120" w:after="120" w:line="240" w:lineRule="auto"/>
              <w:jc w:val="both"/>
              <w:rPr>
                <w:b/>
                <w:bCs/>
                <w:sz w:val="24"/>
                <w:szCs w:val="24"/>
                <w:lang w:eastAsia="ar-SA"/>
              </w:rPr>
            </w:pPr>
          </w:p>
        </w:tc>
        <w:tc>
          <w:tcPr>
            <w:tcW w:w="7095" w:type="dxa"/>
            <w:gridSpan w:val="2"/>
          </w:tcPr>
          <w:p w:rsidR="00AC6567" w:rsidRPr="00AF0FFA" w:rsidRDefault="00AC6567" w:rsidP="006D3C0F">
            <w:pPr>
              <w:suppressAutoHyphens/>
              <w:spacing w:before="120" w:after="120" w:line="240" w:lineRule="auto"/>
              <w:rPr>
                <w:sz w:val="24"/>
                <w:szCs w:val="24"/>
                <w:lang w:eastAsia="ar-SA"/>
              </w:rPr>
            </w:pPr>
            <w:r w:rsidRPr="00AF0FFA">
              <w:rPr>
                <w:sz w:val="24"/>
                <w:szCs w:val="24"/>
                <w:lang w:eastAsia="ar-SA"/>
              </w:rPr>
              <w:t>- Toutes les parties prenantes concernées par la mise en œuvre du projet sont motivées, engagées et prêtes à se coordonner, notamment en terme d’échange d’information</w:t>
            </w:r>
          </w:p>
        </w:tc>
      </w:tr>
    </w:tbl>
    <w:p w:rsidR="00AC6567" w:rsidRPr="00155AEB" w:rsidRDefault="00AC6567" w:rsidP="00483478">
      <w:pPr>
        <w:suppressAutoHyphens/>
        <w:spacing w:before="120" w:after="120" w:line="240" w:lineRule="auto"/>
        <w:rPr>
          <w:sz w:val="24"/>
          <w:szCs w:val="24"/>
          <w:lang w:eastAsia="ar-SA"/>
        </w:rPr>
      </w:pPr>
    </w:p>
    <w:p w:rsidR="00AC6567" w:rsidRPr="00155AEB" w:rsidRDefault="00AC6567" w:rsidP="00DA3AAF">
      <w:pPr>
        <w:spacing w:before="120" w:after="120" w:line="240" w:lineRule="auto"/>
        <w:rPr>
          <w:b/>
          <w:bCs/>
          <w:sz w:val="24"/>
          <w:szCs w:val="24"/>
          <w:lang w:eastAsia="en-GB"/>
        </w:rPr>
      </w:pPr>
      <w:r w:rsidRPr="00155AEB">
        <w:rPr>
          <w:b/>
          <w:bCs/>
          <w:sz w:val="24"/>
          <w:szCs w:val="24"/>
          <w:lang w:eastAsia="en-GB"/>
        </w:rPr>
        <w:br w:type="page"/>
      </w:r>
    </w:p>
    <w:p w:rsidR="00AC6567" w:rsidRPr="00155AEB" w:rsidRDefault="00AC6567" w:rsidP="00DA3AAF">
      <w:pPr>
        <w:spacing w:before="120" w:after="120" w:line="240" w:lineRule="auto"/>
        <w:rPr>
          <w:b/>
          <w:bCs/>
          <w:sz w:val="24"/>
          <w:szCs w:val="24"/>
          <w:lang w:eastAsia="en-GB"/>
        </w:rPr>
      </w:pPr>
    </w:p>
    <w:p w:rsidR="00AC6567" w:rsidRPr="00155AEB" w:rsidRDefault="00AC6567" w:rsidP="00DA3AAF">
      <w:pPr>
        <w:spacing w:before="120" w:after="120" w:line="240" w:lineRule="auto"/>
        <w:rPr>
          <w:b/>
          <w:bCs/>
          <w:sz w:val="24"/>
          <w:szCs w:val="24"/>
          <w:lang w:eastAsia="en-GB"/>
        </w:rPr>
      </w:pPr>
    </w:p>
    <w:p w:rsidR="00AC6567" w:rsidRPr="00155AEB" w:rsidRDefault="00AC6567" w:rsidP="00DA3AAF">
      <w:pPr>
        <w:spacing w:before="120" w:after="120" w:line="240" w:lineRule="auto"/>
        <w:jc w:val="center"/>
        <w:rPr>
          <w:b/>
          <w:bCs/>
          <w:sz w:val="24"/>
          <w:szCs w:val="24"/>
          <w:lang w:eastAsia="en-GB"/>
        </w:rPr>
      </w:pPr>
      <w:r w:rsidRPr="00155AEB">
        <w:rPr>
          <w:b/>
          <w:bCs/>
          <w:sz w:val="24"/>
          <w:szCs w:val="24"/>
          <w:lang w:eastAsia="en-GB"/>
        </w:rPr>
        <w:t>ANNEXE 2 – CALENDRIER DE MISE EN OEUVRE</w:t>
      </w:r>
    </w:p>
    <w:p w:rsidR="00AC6567" w:rsidRPr="00155AEB" w:rsidRDefault="00AC6567" w:rsidP="00DA3AAF">
      <w:pPr>
        <w:spacing w:before="120" w:after="120" w:line="240" w:lineRule="auto"/>
        <w:rPr>
          <w:sz w:val="24"/>
          <w:szCs w:val="24"/>
          <w:lang w:eastAsia="en-GB"/>
        </w:rPr>
      </w:pPr>
      <w:r w:rsidRPr="00155AEB">
        <w:rPr>
          <w:sz w:val="24"/>
          <w:szCs w:val="24"/>
          <w:lang w:eastAsia="en-GB"/>
        </w:rPr>
        <w:t xml:space="preserve">Ce calendrier de mise en œuvre est indicatif et propose une structuration des activités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7"/>
        <w:gridCol w:w="348"/>
        <w:gridCol w:w="348"/>
        <w:gridCol w:w="347"/>
        <w:gridCol w:w="347"/>
        <w:gridCol w:w="347"/>
        <w:gridCol w:w="347"/>
        <w:gridCol w:w="347"/>
        <w:gridCol w:w="347"/>
        <w:gridCol w:w="347"/>
        <w:gridCol w:w="457"/>
        <w:gridCol w:w="457"/>
        <w:gridCol w:w="457"/>
        <w:gridCol w:w="457"/>
        <w:gridCol w:w="457"/>
        <w:gridCol w:w="457"/>
        <w:gridCol w:w="457"/>
        <w:gridCol w:w="457"/>
        <w:gridCol w:w="457"/>
        <w:gridCol w:w="457"/>
        <w:gridCol w:w="457"/>
        <w:gridCol w:w="503"/>
        <w:gridCol w:w="18"/>
        <w:gridCol w:w="425"/>
        <w:gridCol w:w="425"/>
        <w:gridCol w:w="426"/>
      </w:tblGrid>
      <w:tr w:rsidR="00AC6567" w:rsidRPr="00AF0FFA">
        <w:tc>
          <w:tcPr>
            <w:tcW w:w="5327" w:type="dxa"/>
            <w:vMerge w:val="restart"/>
            <w:vAlign w:val="center"/>
          </w:tcPr>
          <w:p w:rsidR="00AC6567" w:rsidRPr="00AF0FFA" w:rsidRDefault="00AC6567" w:rsidP="00DA3AAF">
            <w:pPr>
              <w:autoSpaceDE w:val="0"/>
              <w:autoSpaceDN w:val="0"/>
              <w:adjustRightInd w:val="0"/>
              <w:spacing w:before="120" w:after="120" w:line="240" w:lineRule="auto"/>
              <w:rPr>
                <w:b/>
                <w:bCs/>
                <w:sz w:val="20"/>
                <w:szCs w:val="20"/>
              </w:rPr>
            </w:pPr>
            <w:r w:rsidRPr="00AF0FFA">
              <w:rPr>
                <w:b/>
                <w:bCs/>
                <w:sz w:val="20"/>
                <w:szCs w:val="20"/>
              </w:rPr>
              <w:t>Activités</w:t>
            </w:r>
          </w:p>
        </w:tc>
        <w:tc>
          <w:tcPr>
            <w:tcW w:w="9949" w:type="dxa"/>
            <w:gridSpan w:val="25"/>
          </w:tcPr>
          <w:p w:rsidR="00AC6567" w:rsidRPr="00AF0FFA" w:rsidRDefault="00AC6567" w:rsidP="00DA3AAF">
            <w:pPr>
              <w:autoSpaceDE w:val="0"/>
              <w:autoSpaceDN w:val="0"/>
              <w:adjustRightInd w:val="0"/>
              <w:spacing w:before="120" w:after="120" w:line="240" w:lineRule="auto"/>
              <w:jc w:val="center"/>
              <w:rPr>
                <w:b/>
                <w:bCs/>
                <w:sz w:val="20"/>
                <w:szCs w:val="20"/>
              </w:rPr>
            </w:pPr>
            <w:r w:rsidRPr="00AF0FFA">
              <w:rPr>
                <w:b/>
                <w:bCs/>
                <w:sz w:val="20"/>
                <w:szCs w:val="20"/>
              </w:rPr>
              <w:t>Mois du projet</w:t>
            </w:r>
          </w:p>
        </w:tc>
      </w:tr>
      <w:tr w:rsidR="00AC6567" w:rsidRPr="00AF0FFA">
        <w:tc>
          <w:tcPr>
            <w:tcW w:w="5327" w:type="dxa"/>
            <w:vMerge/>
          </w:tcPr>
          <w:p w:rsidR="00AC6567" w:rsidRPr="00AF0FFA" w:rsidRDefault="00AC6567" w:rsidP="00DA3AAF">
            <w:pPr>
              <w:autoSpaceDE w:val="0"/>
              <w:autoSpaceDN w:val="0"/>
              <w:adjustRightInd w:val="0"/>
              <w:spacing w:before="120" w:after="120" w:line="240" w:lineRule="auto"/>
              <w:jc w:val="both"/>
              <w:rPr>
                <w:b/>
                <w:bCs/>
                <w:sz w:val="20"/>
                <w:szCs w:val="20"/>
              </w:rPr>
            </w:pPr>
          </w:p>
        </w:tc>
        <w:tc>
          <w:tcPr>
            <w:tcW w:w="348"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w:t>
            </w:r>
          </w:p>
        </w:tc>
        <w:tc>
          <w:tcPr>
            <w:tcW w:w="348"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2</w:t>
            </w:r>
          </w:p>
        </w:tc>
        <w:tc>
          <w:tcPr>
            <w:tcW w:w="34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3</w:t>
            </w:r>
          </w:p>
        </w:tc>
        <w:tc>
          <w:tcPr>
            <w:tcW w:w="34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4</w:t>
            </w:r>
          </w:p>
        </w:tc>
        <w:tc>
          <w:tcPr>
            <w:tcW w:w="34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5</w:t>
            </w:r>
          </w:p>
        </w:tc>
        <w:tc>
          <w:tcPr>
            <w:tcW w:w="34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6</w:t>
            </w:r>
          </w:p>
        </w:tc>
        <w:tc>
          <w:tcPr>
            <w:tcW w:w="34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7</w:t>
            </w:r>
          </w:p>
        </w:tc>
        <w:tc>
          <w:tcPr>
            <w:tcW w:w="34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8</w:t>
            </w:r>
          </w:p>
        </w:tc>
        <w:tc>
          <w:tcPr>
            <w:tcW w:w="34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9</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10</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11</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12</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13</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14</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15</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16</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17</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18</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19</w:t>
            </w:r>
          </w:p>
        </w:tc>
        <w:tc>
          <w:tcPr>
            <w:tcW w:w="457"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20</w:t>
            </w:r>
          </w:p>
        </w:tc>
        <w:tc>
          <w:tcPr>
            <w:tcW w:w="521" w:type="dxa"/>
            <w:gridSpan w:val="2"/>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21</w:t>
            </w:r>
          </w:p>
        </w:tc>
        <w:tc>
          <w:tcPr>
            <w:tcW w:w="425"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22</w:t>
            </w:r>
          </w:p>
        </w:tc>
        <w:tc>
          <w:tcPr>
            <w:tcW w:w="425"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23</w:t>
            </w:r>
          </w:p>
        </w:tc>
        <w:tc>
          <w:tcPr>
            <w:tcW w:w="426" w:type="dxa"/>
          </w:tcPr>
          <w:p w:rsidR="00AC6567" w:rsidRPr="00AF0FFA" w:rsidRDefault="00AC6567" w:rsidP="00DA3AAF">
            <w:pPr>
              <w:autoSpaceDE w:val="0"/>
              <w:autoSpaceDN w:val="0"/>
              <w:adjustRightInd w:val="0"/>
              <w:spacing w:before="120" w:after="120" w:line="240" w:lineRule="auto"/>
              <w:jc w:val="both"/>
              <w:rPr>
                <w:sz w:val="20"/>
                <w:szCs w:val="20"/>
              </w:rPr>
            </w:pPr>
            <w:r w:rsidRPr="00AF0FFA">
              <w:rPr>
                <w:sz w:val="20"/>
                <w:szCs w:val="20"/>
              </w:rPr>
              <w:t>24</w:t>
            </w:r>
          </w:p>
        </w:tc>
      </w:tr>
      <w:tr w:rsidR="00AC6567" w:rsidRPr="00AF0FFA">
        <w:tc>
          <w:tcPr>
            <w:tcW w:w="15276" w:type="dxa"/>
            <w:gridSpan w:val="26"/>
            <w:shd w:val="clear" w:color="auto" w:fill="4F81BD"/>
          </w:tcPr>
          <w:p w:rsidR="00AC6567" w:rsidRPr="00AF0FFA" w:rsidRDefault="00AC6567" w:rsidP="00DA3AAF">
            <w:pPr>
              <w:autoSpaceDE w:val="0"/>
              <w:autoSpaceDN w:val="0"/>
              <w:adjustRightInd w:val="0"/>
              <w:spacing w:before="120" w:after="120" w:line="240" w:lineRule="auto"/>
              <w:jc w:val="both"/>
              <w:rPr>
                <w:b/>
                <w:bCs/>
                <w:sz w:val="24"/>
                <w:szCs w:val="24"/>
              </w:rPr>
            </w:pPr>
            <w:r w:rsidRPr="00AF0FFA">
              <w:rPr>
                <w:b/>
                <w:bCs/>
                <w:sz w:val="24"/>
                <w:szCs w:val="24"/>
              </w:rPr>
              <w:t xml:space="preserve">Composante 0: conférences de lancement, à mi-parcours et de clôture </w:t>
            </w:r>
          </w:p>
        </w:tc>
      </w:tr>
      <w:tr w:rsidR="00AC6567" w:rsidRPr="00AF0FFA">
        <w:tc>
          <w:tcPr>
            <w:tcW w:w="5327" w:type="dxa"/>
          </w:tcPr>
          <w:p w:rsidR="00AC6567" w:rsidRPr="00AF0FFA" w:rsidRDefault="00AC6567" w:rsidP="00DA3AAF">
            <w:pPr>
              <w:autoSpaceDE w:val="0"/>
              <w:autoSpaceDN w:val="0"/>
              <w:adjustRightInd w:val="0"/>
              <w:spacing w:before="120" w:after="120" w:line="240" w:lineRule="auto"/>
              <w:jc w:val="both"/>
              <w:rPr>
                <w:sz w:val="24"/>
                <w:szCs w:val="24"/>
              </w:rPr>
            </w:pPr>
            <w:r w:rsidRPr="00AF0FFA">
              <w:rPr>
                <w:sz w:val="24"/>
                <w:szCs w:val="24"/>
              </w:rPr>
              <w:t>Activité  0.1:  Organisation d’une conférence de lancement</w:t>
            </w:r>
          </w:p>
        </w:tc>
        <w:tc>
          <w:tcPr>
            <w:tcW w:w="348"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03"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43"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autoSpaceDE w:val="0"/>
              <w:autoSpaceDN w:val="0"/>
              <w:adjustRightInd w:val="0"/>
              <w:spacing w:before="120" w:after="120" w:line="240" w:lineRule="auto"/>
              <w:jc w:val="both"/>
              <w:rPr>
                <w:sz w:val="24"/>
                <w:szCs w:val="24"/>
              </w:rPr>
            </w:pPr>
            <w:r w:rsidRPr="00AF0FFA">
              <w:rPr>
                <w:sz w:val="24"/>
                <w:szCs w:val="24"/>
              </w:rPr>
              <w:t>Activité  0.2:  Organisation d’une conférence à mi-parcours</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03"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43"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autoSpaceDE w:val="0"/>
              <w:autoSpaceDN w:val="0"/>
              <w:adjustRightInd w:val="0"/>
              <w:spacing w:before="120" w:after="120" w:line="240" w:lineRule="auto"/>
              <w:jc w:val="both"/>
              <w:rPr>
                <w:sz w:val="24"/>
                <w:szCs w:val="24"/>
              </w:rPr>
            </w:pPr>
            <w:r w:rsidRPr="00AF0FFA">
              <w:rPr>
                <w:sz w:val="24"/>
                <w:szCs w:val="24"/>
              </w:rPr>
              <w:t xml:space="preserve">Activité 0.2.:  Organisation d’une conférence de clôture </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03"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43"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15276" w:type="dxa"/>
            <w:gridSpan w:val="26"/>
            <w:shd w:val="clear" w:color="auto" w:fill="4F81BD"/>
          </w:tcPr>
          <w:p w:rsidR="00AC6567" w:rsidRPr="00AF0FFA" w:rsidRDefault="00AC6567" w:rsidP="00DA3AAF">
            <w:pPr>
              <w:autoSpaceDE w:val="0"/>
              <w:autoSpaceDN w:val="0"/>
              <w:adjustRightInd w:val="0"/>
              <w:spacing w:before="120" w:after="120" w:line="240" w:lineRule="auto"/>
              <w:jc w:val="both"/>
              <w:rPr>
                <w:b/>
                <w:bCs/>
                <w:sz w:val="24"/>
                <w:szCs w:val="24"/>
              </w:rPr>
            </w:pPr>
            <w:r w:rsidRPr="00AF0FFA">
              <w:rPr>
                <w:b/>
                <w:bCs/>
                <w:sz w:val="24"/>
                <w:szCs w:val="24"/>
              </w:rPr>
              <w:t>Composante 1 : Analyse de l’écart juridique et institutionnelle</w:t>
            </w: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1.1 </w:t>
            </w:r>
            <w:r w:rsidRPr="00AF0FFA">
              <w:rPr>
                <w:color w:val="000000"/>
                <w:sz w:val="24"/>
                <w:szCs w:val="24"/>
                <w:lang w:eastAsia="en-GB"/>
              </w:rPr>
              <w:t>Sensibilisation à la Directive Cadre de l’Eau</w:t>
            </w:r>
          </w:p>
        </w:tc>
        <w:tc>
          <w:tcPr>
            <w:tcW w:w="348"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 xml:space="preserve">1.2 </w:t>
            </w:r>
            <w:r w:rsidRPr="00AF0FFA">
              <w:rPr>
                <w:sz w:val="24"/>
                <w:szCs w:val="24"/>
                <w:lang w:eastAsia="en-GB"/>
              </w:rPr>
              <w:t>Analyse de la législation marocaine et de la Directive Cadre de l’Eau</w:t>
            </w:r>
          </w:p>
        </w:tc>
        <w:tc>
          <w:tcPr>
            <w:tcW w:w="348"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 xml:space="preserve">1.3 </w:t>
            </w:r>
            <w:r w:rsidRPr="00AF0FFA">
              <w:rPr>
                <w:sz w:val="24"/>
                <w:szCs w:val="24"/>
                <w:lang w:eastAsia="en-GB"/>
              </w:rPr>
              <w:t>Analyse de l’écart institutionnel entre le Maroc et l’UE</w:t>
            </w:r>
          </w:p>
        </w:tc>
        <w:tc>
          <w:tcPr>
            <w:tcW w:w="348"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6D3C0F">
            <w:pPr>
              <w:suppressAutoHyphens/>
              <w:spacing w:before="120" w:after="120" w:line="240" w:lineRule="auto"/>
              <w:jc w:val="both"/>
              <w:rPr>
                <w:sz w:val="24"/>
                <w:szCs w:val="24"/>
                <w:lang w:eastAsia="ar-SA"/>
              </w:rPr>
            </w:pPr>
            <w:r w:rsidRPr="00AF0FFA">
              <w:rPr>
                <w:sz w:val="24"/>
                <w:szCs w:val="24"/>
                <w:lang w:eastAsia="ar-SA"/>
              </w:rPr>
              <w:t xml:space="preserve">1.4 </w:t>
            </w:r>
            <w:r w:rsidRPr="00AF0FFA">
              <w:rPr>
                <w:sz w:val="24"/>
                <w:szCs w:val="24"/>
                <w:lang w:eastAsia="en-GB"/>
              </w:rPr>
              <w:t xml:space="preserve">Réalisation d’une visite d’étude sur la mise en œuvre de la </w:t>
            </w:r>
            <w:r w:rsidRPr="00AF0FFA">
              <w:rPr>
                <w:color w:val="000000"/>
                <w:sz w:val="24"/>
                <w:szCs w:val="24"/>
                <w:lang w:eastAsia="en-GB"/>
              </w:rPr>
              <w:t xml:space="preserve">Directive Cadre de l’Eau </w:t>
            </w:r>
          </w:p>
        </w:tc>
        <w:tc>
          <w:tcPr>
            <w:tcW w:w="348"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15276" w:type="dxa"/>
            <w:gridSpan w:val="26"/>
            <w:shd w:val="clear" w:color="auto" w:fill="4F81BD"/>
          </w:tcPr>
          <w:p w:rsidR="00AC6567" w:rsidRPr="00AF0FFA" w:rsidRDefault="00AC6567" w:rsidP="00DA3AAF">
            <w:pPr>
              <w:autoSpaceDE w:val="0"/>
              <w:autoSpaceDN w:val="0"/>
              <w:adjustRightInd w:val="0"/>
              <w:spacing w:before="120" w:after="120" w:line="240" w:lineRule="auto"/>
              <w:jc w:val="both"/>
              <w:rPr>
                <w:b/>
                <w:bCs/>
                <w:sz w:val="24"/>
                <w:szCs w:val="24"/>
              </w:rPr>
            </w:pPr>
            <w:r w:rsidRPr="00AF0FFA">
              <w:rPr>
                <w:b/>
                <w:bCs/>
                <w:sz w:val="24"/>
                <w:szCs w:val="24"/>
              </w:rPr>
              <w:t>Composante 2: projet d’un plan de gestion pour un bassin hydraulique de Maroc</w:t>
            </w: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 xml:space="preserve">2.1 </w:t>
            </w:r>
            <w:r w:rsidRPr="00AF0FFA">
              <w:rPr>
                <w:sz w:val="24"/>
                <w:szCs w:val="24"/>
              </w:rPr>
              <w:t>Identification du bassin hydraulique et de l’autorité compétente</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7A54AE">
            <w:pPr>
              <w:suppressAutoHyphens/>
              <w:spacing w:before="120" w:after="120" w:line="240" w:lineRule="auto"/>
              <w:jc w:val="both"/>
              <w:rPr>
                <w:sz w:val="24"/>
                <w:szCs w:val="24"/>
                <w:lang w:eastAsia="ar-SA"/>
              </w:rPr>
            </w:pPr>
            <w:r w:rsidRPr="00AF0FFA">
              <w:rPr>
                <w:sz w:val="24"/>
                <w:szCs w:val="24"/>
                <w:lang w:eastAsia="ar-SA"/>
              </w:rPr>
              <w:t>2.2 Développement d’un système pour la gestion et l’analyse des informations pour le projet du plan de gestion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2.3 Identification des masses d’eau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 xml:space="preserve">2.4 </w:t>
            </w:r>
            <w:r w:rsidRPr="00AF0FFA">
              <w:rPr>
                <w:sz w:val="24"/>
                <w:szCs w:val="24"/>
              </w:rPr>
              <w:t>Elaboration d’une analyse économique du bassin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 xml:space="preserve">2.5 </w:t>
            </w:r>
            <w:r w:rsidRPr="00AF0FFA">
              <w:rPr>
                <w:sz w:val="24"/>
                <w:szCs w:val="24"/>
              </w:rPr>
              <w:t>Analyse des pressions des masses d’eau dans le bassin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2.6 Développement d’une typologie pour le bassin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2.7 Réalisation d’un registre des zones protégées</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2.8 Réalisation d’un scénario « Baseline »</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5A557A">
            <w:pPr>
              <w:suppressAutoHyphens/>
              <w:spacing w:before="120" w:after="120" w:line="240" w:lineRule="auto"/>
              <w:jc w:val="both"/>
              <w:rPr>
                <w:sz w:val="24"/>
                <w:szCs w:val="24"/>
                <w:lang w:eastAsia="ar-SA"/>
              </w:rPr>
            </w:pPr>
            <w:r w:rsidRPr="00AF0FFA">
              <w:rPr>
                <w:sz w:val="24"/>
                <w:szCs w:val="24"/>
                <w:lang w:eastAsia="ar-SA"/>
              </w:rPr>
              <w:t>2.9 Estimation des objectifs pour les masses d’eau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2.10 Réalisation d’un programme de surveillance dans le bassin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2.11  Réalisation d’une formation sur la surveillance du bassin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2.12 Elaboration de l’état des lieux du bassin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2.13 </w:t>
            </w:r>
            <w:r w:rsidRPr="00AF0FFA">
              <w:rPr>
                <w:sz w:val="24"/>
                <w:szCs w:val="24"/>
              </w:rPr>
              <w:t>Information et consultation du public</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2.14 </w:t>
            </w:r>
            <w:r w:rsidRPr="00AF0FFA">
              <w:rPr>
                <w:sz w:val="24"/>
                <w:szCs w:val="24"/>
              </w:rPr>
              <w:t>Définition des questions clé pour le bassin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2.15 </w:t>
            </w:r>
            <w:r w:rsidRPr="00AF0FFA">
              <w:rPr>
                <w:sz w:val="24"/>
                <w:szCs w:val="24"/>
              </w:rPr>
              <w:t>Définition des objectifs relatifs à une masse d’eau artificielle et à une masse d’eau fortement modifiée</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2.16 </w:t>
            </w:r>
            <w:r w:rsidRPr="00AF0FFA">
              <w:rPr>
                <w:sz w:val="24"/>
                <w:szCs w:val="24"/>
                <w:lang w:eastAsia="en-GB"/>
              </w:rPr>
              <w:t xml:space="preserve"> Définition d’un programme de mesures pour le bassin pilote</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2.17  Information et consultation du public sur le programme de mesures</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2.18 </w:t>
            </w:r>
            <w:r w:rsidRPr="00AF0FFA">
              <w:rPr>
                <w:sz w:val="24"/>
                <w:szCs w:val="24"/>
              </w:rPr>
              <w:t xml:space="preserve"> Elaboration d’un projet de plan de gestion pour le bassin pilote</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2.19  Information et consultation du public sur le projet  de plan de gestion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2.20 </w:t>
            </w:r>
            <w:r w:rsidRPr="00AF0FFA">
              <w:rPr>
                <w:sz w:val="24"/>
                <w:szCs w:val="24"/>
              </w:rPr>
              <w:t>Elaboration de manuels et guides méthodologiques pour le plan de gestion</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B510C2">
            <w:pPr>
              <w:suppressAutoHyphens/>
              <w:spacing w:before="120" w:after="120" w:line="240" w:lineRule="auto"/>
              <w:jc w:val="both"/>
              <w:rPr>
                <w:sz w:val="24"/>
                <w:szCs w:val="24"/>
                <w:lang w:eastAsia="ar-SA"/>
              </w:rPr>
            </w:pPr>
            <w:r w:rsidRPr="00AF0FFA">
              <w:rPr>
                <w:sz w:val="24"/>
                <w:szCs w:val="24"/>
                <w:lang w:eastAsia="ar-SA"/>
              </w:rPr>
              <w:t>2.21  Visite d’étude</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B510C2">
            <w:pPr>
              <w:suppressAutoHyphens/>
              <w:spacing w:before="120" w:after="120" w:line="240" w:lineRule="auto"/>
              <w:jc w:val="both"/>
              <w:rPr>
                <w:sz w:val="24"/>
                <w:szCs w:val="24"/>
                <w:lang w:eastAsia="ar-SA"/>
              </w:rPr>
            </w:pPr>
            <w:r w:rsidRPr="00AF0FFA">
              <w:rPr>
                <w:sz w:val="24"/>
                <w:szCs w:val="24"/>
                <w:lang w:eastAsia="ar-SA"/>
              </w:rPr>
              <w:t>2.22 Formation des formateurs</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15276" w:type="dxa"/>
            <w:gridSpan w:val="26"/>
            <w:shd w:val="clear" w:color="auto" w:fill="4F81BD"/>
          </w:tcPr>
          <w:p w:rsidR="00AC6567" w:rsidRPr="00AF0FFA" w:rsidRDefault="00AC6567" w:rsidP="00DA3AAF">
            <w:pPr>
              <w:autoSpaceDE w:val="0"/>
              <w:autoSpaceDN w:val="0"/>
              <w:adjustRightInd w:val="0"/>
              <w:spacing w:before="120" w:after="120" w:line="240" w:lineRule="auto"/>
              <w:jc w:val="both"/>
              <w:rPr>
                <w:b/>
                <w:bCs/>
                <w:sz w:val="24"/>
                <w:szCs w:val="24"/>
              </w:rPr>
            </w:pPr>
            <w:r w:rsidRPr="00AF0FFA">
              <w:rPr>
                <w:b/>
                <w:bCs/>
                <w:sz w:val="24"/>
                <w:szCs w:val="24"/>
              </w:rPr>
              <w:t>Composante 3: le projet d’un programme national pour la convergence réglementaire dans l secteur de l’eau</w:t>
            </w: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3.1 </w:t>
            </w:r>
            <w:r w:rsidRPr="00AF0FFA">
              <w:rPr>
                <w:sz w:val="24"/>
                <w:szCs w:val="24"/>
              </w:rPr>
              <w:t>Définition des contours du programme national de convergence réglementaire dans le secteur de l’eau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3.2 Inventaire des informations existantes</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3.3 Estimation des coûts liés à la mise en œuvre du </w:t>
            </w:r>
            <w:r w:rsidRPr="00AF0FFA">
              <w:rPr>
                <w:sz w:val="24"/>
                <w:szCs w:val="24"/>
              </w:rPr>
              <w:t>programme national de convergence réglementaire dans le secteur de l’eau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b/>
                <w:bCs/>
                <w:sz w:val="24"/>
                <w:szCs w:val="24"/>
                <w:lang w:eastAsia="ar-SA"/>
              </w:rPr>
            </w:pPr>
            <w:r w:rsidRPr="00AF0FFA">
              <w:rPr>
                <w:sz w:val="24"/>
                <w:szCs w:val="24"/>
                <w:lang w:eastAsia="ar-SA"/>
              </w:rPr>
              <w:t xml:space="preserve">3.4  Elaboration d’un plan de formation sur le </w:t>
            </w:r>
            <w:r w:rsidRPr="00AF0FFA">
              <w:rPr>
                <w:sz w:val="24"/>
                <w:szCs w:val="24"/>
              </w:rPr>
              <w:t>programme national de convergence réglementaire dans le secteur de l’eau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rPr>
          <w:trHeight w:val="764"/>
        </w:trPr>
        <w:tc>
          <w:tcPr>
            <w:tcW w:w="5327" w:type="dxa"/>
          </w:tcPr>
          <w:p w:rsidR="00AC6567" w:rsidRPr="00AF0FFA" w:rsidRDefault="00AC6567" w:rsidP="007A54AE">
            <w:pPr>
              <w:suppressAutoHyphens/>
              <w:spacing w:before="120" w:after="120" w:line="240" w:lineRule="auto"/>
              <w:jc w:val="both"/>
              <w:rPr>
                <w:sz w:val="24"/>
                <w:szCs w:val="24"/>
                <w:lang w:eastAsia="ar-SA"/>
              </w:rPr>
            </w:pPr>
            <w:r w:rsidRPr="00AF0FFA">
              <w:rPr>
                <w:sz w:val="24"/>
                <w:szCs w:val="24"/>
                <w:lang w:eastAsia="ar-SA"/>
              </w:rPr>
              <w:t xml:space="preserve">3.5 Elaboration du </w:t>
            </w:r>
            <w:r w:rsidRPr="00AF0FFA">
              <w:rPr>
                <w:sz w:val="24"/>
                <w:szCs w:val="24"/>
              </w:rPr>
              <w:t>programme national de convergence réglementaire dans le secteur de l’eau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7A54AE">
            <w:pPr>
              <w:suppressAutoHyphens/>
              <w:spacing w:before="120" w:after="120" w:line="240" w:lineRule="auto"/>
              <w:jc w:val="both"/>
              <w:rPr>
                <w:sz w:val="24"/>
                <w:szCs w:val="24"/>
                <w:lang w:eastAsia="ar-SA"/>
              </w:rPr>
            </w:pPr>
            <w:r w:rsidRPr="00AF0FFA">
              <w:rPr>
                <w:sz w:val="24"/>
                <w:szCs w:val="24"/>
                <w:lang w:eastAsia="ar-SA"/>
              </w:rPr>
              <w:t>3.6  Réalisation d’une conférence sur le programme de convergence réglementaire  dans le secteur de l’eau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r w:rsidR="00AC6567" w:rsidRPr="00AF0FFA">
        <w:tc>
          <w:tcPr>
            <w:tcW w:w="5327" w:type="dxa"/>
          </w:tcPr>
          <w:p w:rsidR="00AC6567" w:rsidRPr="00AF0FFA" w:rsidRDefault="00AC6567" w:rsidP="00DA3AAF">
            <w:pPr>
              <w:suppressAutoHyphens/>
              <w:spacing w:before="120" w:after="120" w:line="240" w:lineRule="auto"/>
              <w:jc w:val="both"/>
              <w:rPr>
                <w:sz w:val="24"/>
                <w:szCs w:val="24"/>
                <w:lang w:eastAsia="ar-SA"/>
              </w:rPr>
            </w:pPr>
            <w:r w:rsidRPr="00AF0FFA">
              <w:rPr>
                <w:sz w:val="24"/>
                <w:szCs w:val="24"/>
                <w:lang w:eastAsia="ar-SA"/>
              </w:rPr>
              <w:t xml:space="preserve">3.7 </w:t>
            </w:r>
            <w:r w:rsidRPr="00AF0FFA">
              <w:rPr>
                <w:sz w:val="24"/>
                <w:szCs w:val="24"/>
                <w:lang w:eastAsia="en-GB"/>
              </w:rPr>
              <w:t xml:space="preserve">Réalisation d’une visite d’étude sur la mise en œuvre de la </w:t>
            </w:r>
            <w:r w:rsidRPr="00AF0FFA">
              <w:rPr>
                <w:color w:val="000000"/>
                <w:sz w:val="24"/>
                <w:szCs w:val="24"/>
                <w:lang w:eastAsia="en-GB"/>
              </w:rPr>
              <w:t>Directive Cadre de l’Eau</w:t>
            </w: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8"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34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57" w:type="dxa"/>
            <w:shd w:val="clear" w:color="auto" w:fill="A6A6A6"/>
          </w:tcPr>
          <w:p w:rsidR="00AC6567" w:rsidRPr="00AF0FFA" w:rsidRDefault="00AC6567" w:rsidP="00DA3AAF">
            <w:pPr>
              <w:autoSpaceDE w:val="0"/>
              <w:autoSpaceDN w:val="0"/>
              <w:adjustRightInd w:val="0"/>
              <w:spacing w:before="120" w:after="120" w:line="240" w:lineRule="auto"/>
              <w:jc w:val="both"/>
              <w:rPr>
                <w:sz w:val="24"/>
                <w:szCs w:val="24"/>
              </w:rPr>
            </w:pPr>
          </w:p>
        </w:tc>
        <w:tc>
          <w:tcPr>
            <w:tcW w:w="521" w:type="dxa"/>
            <w:gridSpan w:val="2"/>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5" w:type="dxa"/>
            <w:shd w:val="clear" w:color="auto" w:fill="FFFFFF"/>
          </w:tcPr>
          <w:p w:rsidR="00AC6567" w:rsidRPr="00AF0FFA" w:rsidRDefault="00AC6567" w:rsidP="00DA3AAF">
            <w:pPr>
              <w:autoSpaceDE w:val="0"/>
              <w:autoSpaceDN w:val="0"/>
              <w:adjustRightInd w:val="0"/>
              <w:spacing w:before="120" w:after="120" w:line="240" w:lineRule="auto"/>
              <w:jc w:val="both"/>
              <w:rPr>
                <w:sz w:val="24"/>
                <w:szCs w:val="24"/>
              </w:rPr>
            </w:pPr>
          </w:p>
        </w:tc>
        <w:tc>
          <w:tcPr>
            <w:tcW w:w="426" w:type="dxa"/>
          </w:tcPr>
          <w:p w:rsidR="00AC6567" w:rsidRPr="00AF0FFA" w:rsidRDefault="00AC6567" w:rsidP="00DA3AAF">
            <w:pPr>
              <w:autoSpaceDE w:val="0"/>
              <w:autoSpaceDN w:val="0"/>
              <w:adjustRightInd w:val="0"/>
              <w:spacing w:before="120" w:after="120" w:line="240" w:lineRule="auto"/>
              <w:jc w:val="both"/>
              <w:rPr>
                <w:sz w:val="24"/>
                <w:szCs w:val="24"/>
              </w:rPr>
            </w:pPr>
          </w:p>
        </w:tc>
      </w:tr>
    </w:tbl>
    <w:p w:rsidR="00AC6567" w:rsidRPr="00155AEB" w:rsidRDefault="00AC6567" w:rsidP="00DA3AAF">
      <w:pPr>
        <w:spacing w:before="120" w:after="120" w:line="240" w:lineRule="auto"/>
        <w:rPr>
          <w:b/>
          <w:bCs/>
          <w:sz w:val="24"/>
          <w:szCs w:val="24"/>
        </w:rPr>
        <w:sectPr w:rsidR="00AC6567" w:rsidRPr="00155AEB" w:rsidSect="00E47524">
          <w:pgSz w:w="16838" w:h="11906" w:orient="landscape"/>
          <w:pgMar w:top="284" w:right="567" w:bottom="284" w:left="567" w:header="709" w:footer="709" w:gutter="0"/>
          <w:cols w:space="708"/>
          <w:docGrid w:linePitch="360"/>
        </w:sectPr>
      </w:pPr>
    </w:p>
    <w:p w:rsidR="00AC6567" w:rsidRPr="00155AEB" w:rsidRDefault="00AC6567" w:rsidP="00DA3AAF">
      <w:pPr>
        <w:spacing w:before="120" w:after="120" w:line="240" w:lineRule="auto"/>
        <w:rPr>
          <w:b/>
          <w:bCs/>
          <w:sz w:val="24"/>
          <w:szCs w:val="24"/>
        </w:rPr>
      </w:pPr>
    </w:p>
    <w:p w:rsidR="00AC6567" w:rsidRPr="00155AEB" w:rsidRDefault="00AC6567" w:rsidP="00DA3AAF">
      <w:pPr>
        <w:spacing w:before="120" w:after="120" w:line="240" w:lineRule="auto"/>
        <w:jc w:val="center"/>
        <w:rPr>
          <w:b/>
          <w:bCs/>
          <w:sz w:val="24"/>
          <w:szCs w:val="24"/>
        </w:rPr>
      </w:pPr>
      <w:r w:rsidRPr="00155AEB">
        <w:rPr>
          <w:b/>
          <w:bCs/>
          <w:sz w:val="24"/>
          <w:szCs w:val="24"/>
        </w:rPr>
        <w:t>ANNEXE 3: PRINCIPAUX TEXTES LEGISLATIFS ET REGLEMENTAIRE</w:t>
      </w:r>
    </w:p>
    <w:p w:rsidR="00AC6567" w:rsidRPr="00155AEB" w:rsidRDefault="00AC6567" w:rsidP="00DA3AAF">
      <w:pPr>
        <w:spacing w:before="120" w:after="120" w:line="240" w:lineRule="auto"/>
        <w:jc w:val="center"/>
        <w:rPr>
          <w:b/>
          <w:bCs/>
          <w:sz w:val="24"/>
          <w:szCs w:val="24"/>
        </w:rPr>
      </w:pPr>
    </w:p>
    <w:p w:rsidR="00AC6567" w:rsidRPr="00155AEB" w:rsidRDefault="00AC6567" w:rsidP="00DA3AAF">
      <w:pPr>
        <w:spacing w:before="120" w:after="120" w:line="240" w:lineRule="auto"/>
        <w:jc w:val="center"/>
        <w:rPr>
          <w:b/>
          <w:bCs/>
          <w:sz w:val="24"/>
          <w:szCs w:val="24"/>
        </w:rPr>
      </w:pPr>
    </w:p>
    <w:tbl>
      <w:tblPr>
        <w:tblW w:w="10065"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26"/>
        <w:gridCol w:w="8311"/>
        <w:gridCol w:w="1328"/>
      </w:tblGrid>
      <w:tr w:rsidR="00AC6567" w:rsidRPr="00AF0FFA">
        <w:tc>
          <w:tcPr>
            <w:tcW w:w="426" w:type="dxa"/>
          </w:tcPr>
          <w:p w:rsidR="00AC6567" w:rsidRPr="00AF0FFA" w:rsidRDefault="00AC6567" w:rsidP="00DA3AAF">
            <w:pPr>
              <w:pStyle w:val="Header"/>
              <w:tabs>
                <w:tab w:val="left" w:pos="708"/>
              </w:tabs>
              <w:spacing w:before="120" w:after="120"/>
              <w:jc w:val="center"/>
              <w:rPr>
                <w:b/>
                <w:bCs/>
                <w:sz w:val="24"/>
                <w:szCs w:val="24"/>
              </w:rPr>
            </w:pPr>
          </w:p>
        </w:tc>
        <w:tc>
          <w:tcPr>
            <w:tcW w:w="8311" w:type="dxa"/>
          </w:tcPr>
          <w:p w:rsidR="00AC6567" w:rsidRPr="00AF0FFA" w:rsidRDefault="00AC6567" w:rsidP="00DA3AAF">
            <w:pPr>
              <w:pStyle w:val="Header"/>
              <w:tabs>
                <w:tab w:val="left" w:pos="708"/>
              </w:tabs>
              <w:spacing w:before="120" w:after="120"/>
              <w:jc w:val="center"/>
              <w:rPr>
                <w:b/>
                <w:bCs/>
                <w:sz w:val="24"/>
                <w:szCs w:val="24"/>
              </w:rPr>
            </w:pPr>
            <w:r w:rsidRPr="00AF0FFA">
              <w:rPr>
                <w:b/>
                <w:bCs/>
                <w:sz w:val="24"/>
                <w:szCs w:val="24"/>
              </w:rPr>
              <w:t>Décret</w:t>
            </w:r>
          </w:p>
        </w:tc>
        <w:tc>
          <w:tcPr>
            <w:tcW w:w="1328" w:type="dxa"/>
          </w:tcPr>
          <w:p w:rsidR="00AC6567" w:rsidRPr="00AF0FFA" w:rsidRDefault="00AC6567" w:rsidP="00DA3AAF">
            <w:pPr>
              <w:pStyle w:val="Header"/>
              <w:tabs>
                <w:tab w:val="left" w:pos="708"/>
              </w:tabs>
              <w:spacing w:before="120" w:after="120"/>
              <w:jc w:val="center"/>
              <w:rPr>
                <w:b/>
                <w:bCs/>
                <w:sz w:val="24"/>
                <w:szCs w:val="24"/>
              </w:rPr>
            </w:pPr>
            <w:r w:rsidRPr="00AF0FFA">
              <w:rPr>
                <w:b/>
                <w:bCs/>
                <w:sz w:val="24"/>
                <w:szCs w:val="24"/>
              </w:rPr>
              <w:t xml:space="preserve">Date de publication </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1</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 2-96-158 relatif à la composition et au fonctionnement du CSEC</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/12/ 1996</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2</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 2-96-536 relatif à l’agence de bassin hydraulique de l’Oum Er-Rbia</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/12/ 1996</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3</w:t>
            </w:r>
          </w:p>
        </w:tc>
        <w:tc>
          <w:tcPr>
            <w:tcW w:w="8311" w:type="dxa"/>
          </w:tcPr>
          <w:p w:rsidR="00AC6567" w:rsidRPr="00AF0FFA" w:rsidRDefault="00AC6567" w:rsidP="00DA3AAF">
            <w:pPr>
              <w:pStyle w:val="Header"/>
              <w:tabs>
                <w:tab w:val="left" w:pos="708"/>
              </w:tabs>
              <w:spacing w:before="120" w:after="120"/>
              <w:rPr>
                <w:b/>
                <w:bCs/>
                <w:sz w:val="24"/>
                <w:szCs w:val="24"/>
              </w:rPr>
            </w:pPr>
            <w:r w:rsidRPr="00AF0FFA">
              <w:rPr>
                <w:sz w:val="24"/>
                <w:szCs w:val="24"/>
              </w:rPr>
              <w:t>Décret n° 2-97-178 fixant la procédure de déclaration pour la tenue à jour de l’inventaire des ressources en eau</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6 /10/ 1997</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4</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 2-97-224 fixant les conditions d’accumulation artificielle des eaux</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6 /11/ 1997</w:t>
            </w:r>
          </w:p>
        </w:tc>
      </w:tr>
      <w:tr w:rsidR="00AC6567" w:rsidRPr="00AF0FFA">
        <w:tc>
          <w:tcPr>
            <w:tcW w:w="426" w:type="dxa"/>
          </w:tcPr>
          <w:p w:rsidR="00AC6567" w:rsidRPr="00AF0FFA" w:rsidRDefault="00AC6567" w:rsidP="00DA3AAF">
            <w:pPr>
              <w:pStyle w:val="Header"/>
              <w:tabs>
                <w:tab w:val="left" w:pos="708"/>
              </w:tabs>
              <w:spacing w:before="120" w:after="120"/>
              <w:ind w:left="72" w:hanging="72"/>
              <w:rPr>
                <w:b/>
                <w:bCs/>
                <w:sz w:val="24"/>
                <w:szCs w:val="24"/>
              </w:rPr>
            </w:pPr>
            <w:r w:rsidRPr="00AF0FFA">
              <w:rPr>
                <w:b/>
                <w:bCs/>
                <w:sz w:val="24"/>
                <w:szCs w:val="24"/>
              </w:rPr>
              <w:t>6</w:t>
            </w:r>
          </w:p>
        </w:tc>
        <w:tc>
          <w:tcPr>
            <w:tcW w:w="8311" w:type="dxa"/>
          </w:tcPr>
          <w:p w:rsidR="00AC6567" w:rsidRPr="00AF0FFA" w:rsidRDefault="00AC6567" w:rsidP="00DA3AAF">
            <w:pPr>
              <w:pStyle w:val="Header"/>
              <w:tabs>
                <w:tab w:val="left" w:pos="708"/>
              </w:tabs>
              <w:spacing w:before="120" w:after="120"/>
              <w:ind w:left="72" w:hanging="72"/>
              <w:rPr>
                <w:b/>
                <w:bCs/>
                <w:sz w:val="24"/>
                <w:szCs w:val="24"/>
              </w:rPr>
            </w:pPr>
            <w:r w:rsidRPr="00AF0FFA">
              <w:rPr>
                <w:sz w:val="24"/>
                <w:szCs w:val="24"/>
              </w:rPr>
              <w:t>Décret n° 2-97-414 relatif aux modalités de fixation et de recouvrement des redevances d’utilisation de l’eau</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/2/ 1998</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8</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 2-97-488 relatif aux commissions préfectorales et provinciales de l’eau</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/2/ 1998</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9</w:t>
            </w:r>
          </w:p>
        </w:tc>
        <w:tc>
          <w:tcPr>
            <w:tcW w:w="8311" w:type="dxa"/>
          </w:tcPr>
          <w:p w:rsidR="00AC6567" w:rsidRPr="00AF0FFA" w:rsidRDefault="00AC6567" w:rsidP="00DA3AAF">
            <w:pPr>
              <w:pStyle w:val="Header"/>
              <w:tabs>
                <w:tab w:val="left" w:pos="708"/>
              </w:tabs>
              <w:spacing w:before="120" w:after="120"/>
              <w:rPr>
                <w:b/>
                <w:bCs/>
                <w:sz w:val="24"/>
                <w:szCs w:val="24"/>
              </w:rPr>
            </w:pPr>
            <w:r w:rsidRPr="00AF0FFA">
              <w:rPr>
                <w:sz w:val="24"/>
                <w:szCs w:val="24"/>
              </w:rPr>
              <w:t>Décret n° 2-97-489 relatif à la délimitation du DPH, à la correction des cours d’eau et à l’extraction des matériaux</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/2/ 1998</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10</w:t>
            </w:r>
          </w:p>
        </w:tc>
        <w:tc>
          <w:tcPr>
            <w:tcW w:w="8311" w:type="dxa"/>
          </w:tcPr>
          <w:p w:rsidR="00AC6567" w:rsidRPr="00AF0FFA" w:rsidRDefault="00AC6567" w:rsidP="00DA3AAF">
            <w:pPr>
              <w:pStyle w:val="Header"/>
              <w:tabs>
                <w:tab w:val="left" w:pos="708"/>
              </w:tabs>
              <w:spacing w:before="120" w:after="120"/>
              <w:rPr>
                <w:b/>
                <w:bCs/>
                <w:sz w:val="24"/>
                <w:szCs w:val="24"/>
              </w:rPr>
            </w:pPr>
            <w:r w:rsidRPr="00AF0FFA">
              <w:rPr>
                <w:sz w:val="24"/>
                <w:szCs w:val="24"/>
              </w:rPr>
              <w:t>Décret n° 2-97-657 relatif à la délimitation des zones de protection et des périmètres de sauvegarde et d’interdiction</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/2/ 1998</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11</w:t>
            </w:r>
          </w:p>
        </w:tc>
        <w:tc>
          <w:tcPr>
            <w:tcW w:w="8311" w:type="dxa"/>
          </w:tcPr>
          <w:p w:rsidR="00AC6567" w:rsidRPr="00AF0FFA" w:rsidRDefault="00AC6567" w:rsidP="00DA3AAF">
            <w:pPr>
              <w:pStyle w:val="Header"/>
              <w:tabs>
                <w:tab w:val="left" w:pos="708"/>
              </w:tabs>
              <w:spacing w:before="120" w:after="120"/>
              <w:rPr>
                <w:b/>
                <w:bCs/>
                <w:sz w:val="24"/>
                <w:szCs w:val="24"/>
              </w:rPr>
            </w:pPr>
            <w:r w:rsidRPr="00AF0FFA">
              <w:rPr>
                <w:sz w:val="24"/>
                <w:szCs w:val="24"/>
              </w:rPr>
              <w:t>Décret n° 2-97-787 relatif à l’inventaire du degré de pollution des eaux et aux normes de qualité</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/2/ 1998</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12</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 2-97-875 relatif à l’utilisation des eaux usées</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5 /2/ 1998</w:t>
            </w:r>
          </w:p>
        </w:tc>
      </w:tr>
      <w:tr w:rsidR="00AC6567" w:rsidRPr="00AF0FFA">
        <w:tc>
          <w:tcPr>
            <w:tcW w:w="426" w:type="dxa"/>
          </w:tcPr>
          <w:p w:rsidR="00AC6567" w:rsidRPr="00AF0FFA" w:rsidRDefault="00AC6567" w:rsidP="00DA3AAF">
            <w:pPr>
              <w:pStyle w:val="Header"/>
              <w:tabs>
                <w:tab w:val="left" w:pos="708"/>
              </w:tabs>
              <w:spacing w:before="120" w:after="120"/>
              <w:ind w:left="72" w:hanging="72"/>
              <w:rPr>
                <w:b/>
                <w:bCs/>
                <w:sz w:val="24"/>
                <w:szCs w:val="24"/>
              </w:rPr>
            </w:pPr>
            <w:r w:rsidRPr="00AF0FFA">
              <w:rPr>
                <w:b/>
                <w:bCs/>
                <w:sz w:val="24"/>
                <w:szCs w:val="24"/>
              </w:rPr>
              <w:t>13</w:t>
            </w:r>
          </w:p>
        </w:tc>
        <w:tc>
          <w:tcPr>
            <w:tcW w:w="8311" w:type="dxa"/>
          </w:tcPr>
          <w:p w:rsidR="00AC6567" w:rsidRPr="00AF0FFA" w:rsidRDefault="00AC6567" w:rsidP="00DA3AAF">
            <w:pPr>
              <w:pStyle w:val="Header"/>
              <w:tabs>
                <w:tab w:val="left" w:pos="708"/>
              </w:tabs>
              <w:spacing w:before="120" w:after="120"/>
              <w:ind w:left="72" w:hanging="72"/>
              <w:rPr>
                <w:b/>
                <w:bCs/>
                <w:sz w:val="24"/>
                <w:szCs w:val="24"/>
              </w:rPr>
            </w:pPr>
            <w:r w:rsidRPr="00AF0FFA">
              <w:rPr>
                <w:sz w:val="24"/>
                <w:szCs w:val="24"/>
              </w:rPr>
              <w:t xml:space="preserve">Décret n° 2-00-474 fixant la procédure de reconnaissance de droits acquis sur leDPH </w:t>
            </w:r>
          </w:p>
        </w:tc>
        <w:tc>
          <w:tcPr>
            <w:tcW w:w="1328"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 xml:space="preserve"> 30 /11/ 2000</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14</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n°2-00-475 relatif à l’ABH de la Moulouya</w:t>
            </w:r>
          </w:p>
        </w:tc>
        <w:tc>
          <w:tcPr>
            <w:tcW w:w="1328" w:type="dxa"/>
          </w:tcPr>
          <w:p w:rsidR="00AC6567" w:rsidRPr="00AF0FFA" w:rsidRDefault="00AC6567" w:rsidP="00DA3AAF">
            <w:pPr>
              <w:pStyle w:val="Header"/>
              <w:tabs>
                <w:tab w:val="left" w:pos="708"/>
              </w:tabs>
              <w:spacing w:before="120" w:after="120"/>
              <w:ind w:left="215" w:hanging="215"/>
              <w:jc w:val="center"/>
              <w:rPr>
                <w:b/>
                <w:bCs/>
                <w:sz w:val="24"/>
                <w:szCs w:val="24"/>
              </w:rPr>
            </w:pPr>
            <w:r w:rsidRPr="00AF0FFA">
              <w:rPr>
                <w:sz w:val="24"/>
                <w:szCs w:val="24"/>
              </w:rPr>
              <w:t>23 /11/  2000</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15</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n°2-00-476 relatif à l’ABH du Loukkos</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23 /11/  2000</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16</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n°2-00-477 relatif à l’ABH du Sebou</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23 /11/  2000</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17</w:t>
            </w:r>
          </w:p>
        </w:tc>
        <w:tc>
          <w:tcPr>
            <w:tcW w:w="8311" w:type="dxa"/>
          </w:tcPr>
          <w:p w:rsidR="00AC6567" w:rsidRPr="00AF0FFA" w:rsidRDefault="00AC6567" w:rsidP="00DA3AAF">
            <w:pPr>
              <w:pStyle w:val="Header"/>
              <w:tabs>
                <w:tab w:val="left" w:pos="708"/>
              </w:tabs>
              <w:spacing w:before="120" w:after="120"/>
              <w:rPr>
                <w:b/>
                <w:bCs/>
                <w:sz w:val="24"/>
                <w:szCs w:val="24"/>
              </w:rPr>
            </w:pPr>
            <w:r w:rsidRPr="00AF0FFA">
              <w:rPr>
                <w:sz w:val="24"/>
                <w:szCs w:val="24"/>
              </w:rPr>
              <w:t>Décret n°2-00-478 relatif à l’ABH du Bou Regreg et de la Chaouia</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23 /11/  2000</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18</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n°2-00-479 relatif à l’ABH du Tensift</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23 /11/  2000</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19</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n°2-00-480 relatif à l’ABH du Souss Massa</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23 /11/  2000</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20</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 2-01-2814 portant approbation du PDAIRE du Souss-Massa</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05 /8/ 2002</w:t>
            </w:r>
          </w:p>
        </w:tc>
      </w:tr>
      <w:tr w:rsidR="00AC6567" w:rsidRPr="00AF0FFA">
        <w:tc>
          <w:tcPr>
            <w:tcW w:w="426" w:type="dxa"/>
          </w:tcPr>
          <w:p w:rsidR="00AC6567" w:rsidRPr="00AF0FFA" w:rsidRDefault="00AC6567" w:rsidP="00DA3AAF">
            <w:pPr>
              <w:pStyle w:val="Header"/>
              <w:tabs>
                <w:tab w:val="left" w:pos="708"/>
              </w:tabs>
              <w:spacing w:before="120" w:after="120"/>
              <w:ind w:left="215" w:hanging="215"/>
              <w:rPr>
                <w:b/>
                <w:bCs/>
                <w:sz w:val="24"/>
                <w:szCs w:val="24"/>
              </w:rPr>
            </w:pPr>
            <w:r w:rsidRPr="00AF0FFA">
              <w:rPr>
                <w:b/>
                <w:bCs/>
                <w:sz w:val="24"/>
                <w:szCs w:val="24"/>
              </w:rPr>
              <w:t>21</w:t>
            </w:r>
          </w:p>
        </w:tc>
        <w:tc>
          <w:tcPr>
            <w:tcW w:w="8311" w:type="dxa"/>
          </w:tcPr>
          <w:p w:rsidR="00AC6567" w:rsidRPr="00AF0FFA" w:rsidRDefault="00AC6567" w:rsidP="00DA3AAF">
            <w:pPr>
              <w:pStyle w:val="Header"/>
              <w:tabs>
                <w:tab w:val="left" w:pos="708"/>
              </w:tabs>
              <w:spacing w:before="120" w:after="120"/>
              <w:ind w:left="215" w:hanging="215"/>
              <w:rPr>
                <w:b/>
                <w:bCs/>
                <w:sz w:val="24"/>
                <w:szCs w:val="24"/>
              </w:rPr>
            </w:pPr>
            <w:r w:rsidRPr="00AF0FFA">
              <w:rPr>
                <w:sz w:val="24"/>
                <w:szCs w:val="24"/>
              </w:rPr>
              <w:t>Décret n° 2-01-2813 portant approbation du PDAIRE du Tensift</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05 /8/ 2002</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22</w:t>
            </w:r>
          </w:p>
        </w:tc>
        <w:tc>
          <w:tcPr>
            <w:tcW w:w="8311" w:type="dxa"/>
          </w:tcPr>
          <w:p w:rsidR="00AC6567" w:rsidRPr="00AF0FFA" w:rsidRDefault="00AC6567" w:rsidP="00DA3AAF">
            <w:pPr>
              <w:pStyle w:val="Header"/>
              <w:tabs>
                <w:tab w:val="left" w:pos="708"/>
              </w:tabs>
              <w:spacing w:before="120" w:after="120"/>
              <w:rPr>
                <w:sz w:val="24"/>
                <w:szCs w:val="24"/>
              </w:rPr>
            </w:pPr>
            <w:r w:rsidRPr="00AF0FFA">
              <w:rPr>
                <w:sz w:val="24"/>
                <w:szCs w:val="24"/>
              </w:rPr>
              <w:t>Décret n° 2-04-553 relatif aux déversements  …….</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17 /2/ 2005</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23</w:t>
            </w:r>
          </w:p>
        </w:tc>
        <w:tc>
          <w:tcPr>
            <w:tcW w:w="8311" w:type="dxa"/>
          </w:tcPr>
          <w:p w:rsidR="00AC6567" w:rsidRPr="00AF0FFA" w:rsidRDefault="00AC6567" w:rsidP="00DA3AAF">
            <w:pPr>
              <w:pStyle w:val="Header"/>
              <w:tabs>
                <w:tab w:val="left" w:pos="708"/>
              </w:tabs>
              <w:spacing w:before="120" w:after="120"/>
              <w:rPr>
                <w:sz w:val="24"/>
                <w:szCs w:val="24"/>
              </w:rPr>
            </w:pPr>
            <w:r w:rsidRPr="00AF0FFA">
              <w:rPr>
                <w:sz w:val="24"/>
                <w:szCs w:val="24"/>
              </w:rPr>
              <w:t xml:space="preserve">Décret n° 2-03-478 relatif à la tutelle  et à la composition des conseils d’administration des agences de bassins hydrauliques </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17 /2/ 2005</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24</w:t>
            </w:r>
          </w:p>
        </w:tc>
        <w:tc>
          <w:tcPr>
            <w:tcW w:w="8311" w:type="dxa"/>
          </w:tcPr>
          <w:p w:rsidR="00AC6567" w:rsidRPr="00AF0FFA" w:rsidRDefault="00AC6567" w:rsidP="00DA3AAF">
            <w:pPr>
              <w:pStyle w:val="Header"/>
              <w:tabs>
                <w:tab w:val="left" w:pos="708"/>
              </w:tabs>
              <w:spacing w:before="120" w:after="120"/>
              <w:rPr>
                <w:sz w:val="24"/>
                <w:szCs w:val="24"/>
              </w:rPr>
            </w:pPr>
            <w:r w:rsidRPr="00AF0FFA">
              <w:rPr>
                <w:sz w:val="24"/>
                <w:szCs w:val="24"/>
              </w:rPr>
              <w:t>Décret n° 2-05-1533</w:t>
            </w:r>
            <w:r w:rsidRPr="00AF0FFA">
              <w:rPr>
                <w:b/>
                <w:bCs/>
                <w:color w:val="000011"/>
                <w:sz w:val="24"/>
                <w:szCs w:val="24"/>
              </w:rPr>
              <w:t xml:space="preserve"> </w:t>
            </w:r>
            <w:r w:rsidRPr="00AF0FFA">
              <w:rPr>
                <w:sz w:val="24"/>
                <w:szCs w:val="24"/>
              </w:rPr>
              <w:t>relatif à l’assainissement autonome</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16 /3/ 2006</w:t>
            </w:r>
          </w:p>
        </w:tc>
      </w:tr>
      <w:tr w:rsidR="00AC6567" w:rsidRPr="00AF0FFA">
        <w:tc>
          <w:tcPr>
            <w:tcW w:w="426" w:type="dxa"/>
          </w:tcPr>
          <w:p w:rsidR="00AC6567" w:rsidRPr="00AF0FFA" w:rsidRDefault="00AC6567" w:rsidP="00DA3AAF">
            <w:pPr>
              <w:pStyle w:val="Header"/>
              <w:tabs>
                <w:tab w:val="left" w:pos="708"/>
              </w:tabs>
              <w:spacing w:before="120" w:after="120"/>
              <w:rPr>
                <w:b/>
                <w:bCs/>
                <w:sz w:val="24"/>
                <w:szCs w:val="24"/>
              </w:rPr>
            </w:pPr>
            <w:r w:rsidRPr="00AF0FFA">
              <w:rPr>
                <w:b/>
                <w:bCs/>
                <w:sz w:val="24"/>
                <w:szCs w:val="24"/>
              </w:rPr>
              <w:t>25</w:t>
            </w:r>
          </w:p>
        </w:tc>
        <w:tc>
          <w:tcPr>
            <w:tcW w:w="8311" w:type="dxa"/>
          </w:tcPr>
          <w:p w:rsidR="00AC6567" w:rsidRPr="00AF0FFA" w:rsidRDefault="00AC6567" w:rsidP="00DA3AAF">
            <w:pPr>
              <w:pStyle w:val="Header"/>
              <w:tabs>
                <w:tab w:val="left" w:pos="708"/>
              </w:tabs>
              <w:spacing w:before="120" w:after="120"/>
              <w:rPr>
                <w:sz w:val="24"/>
                <w:szCs w:val="24"/>
              </w:rPr>
            </w:pPr>
            <w:r w:rsidRPr="00AF0FFA">
              <w:rPr>
                <w:sz w:val="24"/>
                <w:szCs w:val="24"/>
              </w:rPr>
              <w:t>Décret n° 5448 relatif aux eaux à usage alimentaire.</w:t>
            </w:r>
          </w:p>
        </w:tc>
        <w:tc>
          <w:tcPr>
            <w:tcW w:w="1328" w:type="dxa"/>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17 /8/ 2006</w:t>
            </w:r>
          </w:p>
        </w:tc>
      </w:tr>
      <w:tr w:rsidR="00AC6567" w:rsidRPr="00AF0FFA">
        <w:trPr>
          <w:trHeight w:val="65"/>
        </w:trPr>
        <w:tc>
          <w:tcPr>
            <w:tcW w:w="426" w:type="dxa"/>
            <w:tcBorders>
              <w:bottom w:val="single" w:sz="4" w:space="0" w:color="auto"/>
            </w:tcBorders>
          </w:tcPr>
          <w:p w:rsidR="00AC6567" w:rsidRPr="00AF0FFA" w:rsidRDefault="00AC6567" w:rsidP="00DA3AAF">
            <w:pPr>
              <w:pStyle w:val="Header"/>
              <w:tabs>
                <w:tab w:val="left" w:pos="708"/>
              </w:tabs>
              <w:spacing w:before="120" w:after="120"/>
              <w:rPr>
                <w:rFonts w:ascii="Times New Roman" w:hAnsi="Times New Roman" w:cs="Times New Roman"/>
                <w:b/>
                <w:bCs/>
                <w:sz w:val="24"/>
                <w:szCs w:val="24"/>
              </w:rPr>
            </w:pPr>
          </w:p>
          <w:p w:rsidR="00AC6567" w:rsidRPr="00AF0FFA" w:rsidRDefault="00AC6567" w:rsidP="00DA3AAF">
            <w:pPr>
              <w:pStyle w:val="Header"/>
              <w:tabs>
                <w:tab w:val="left" w:pos="708"/>
              </w:tabs>
              <w:spacing w:before="120" w:after="120"/>
              <w:rPr>
                <w:b/>
                <w:bCs/>
                <w:sz w:val="24"/>
                <w:szCs w:val="24"/>
              </w:rPr>
            </w:pPr>
            <w:r w:rsidRPr="00AF0FFA">
              <w:rPr>
                <w:b/>
                <w:bCs/>
                <w:sz w:val="24"/>
                <w:szCs w:val="24"/>
              </w:rPr>
              <w:t>26</w:t>
            </w:r>
          </w:p>
          <w:p w:rsidR="00AC6567" w:rsidRPr="00AF0FFA" w:rsidRDefault="00AC6567" w:rsidP="00DA3AAF">
            <w:pPr>
              <w:pStyle w:val="Header"/>
              <w:tabs>
                <w:tab w:val="left" w:pos="708"/>
              </w:tabs>
              <w:spacing w:before="120" w:after="120"/>
              <w:rPr>
                <w:b/>
                <w:bCs/>
                <w:sz w:val="24"/>
                <w:szCs w:val="24"/>
              </w:rPr>
            </w:pPr>
          </w:p>
        </w:tc>
        <w:tc>
          <w:tcPr>
            <w:tcW w:w="8311" w:type="dxa"/>
            <w:tcBorders>
              <w:bottom w:val="single" w:sz="4" w:space="0" w:color="auto"/>
            </w:tcBorders>
          </w:tcPr>
          <w:p w:rsidR="00AC6567" w:rsidRPr="00AF0FFA" w:rsidRDefault="00AC6567" w:rsidP="00DA3AAF">
            <w:pPr>
              <w:pStyle w:val="Header"/>
              <w:tabs>
                <w:tab w:val="left" w:pos="708"/>
              </w:tabs>
              <w:spacing w:before="120" w:after="120"/>
              <w:rPr>
                <w:rFonts w:ascii="Times New Roman" w:hAnsi="Times New Roman" w:cs="Times New Roman"/>
                <w:sz w:val="24"/>
                <w:szCs w:val="24"/>
              </w:rPr>
            </w:pPr>
          </w:p>
          <w:p w:rsidR="00AC6567" w:rsidRPr="00AF0FFA" w:rsidRDefault="00AC6567" w:rsidP="00DA3AAF">
            <w:pPr>
              <w:pStyle w:val="Header"/>
              <w:tabs>
                <w:tab w:val="left" w:pos="708"/>
              </w:tabs>
              <w:spacing w:before="120" w:after="120"/>
              <w:rPr>
                <w:sz w:val="24"/>
                <w:szCs w:val="24"/>
              </w:rPr>
            </w:pPr>
            <w:r w:rsidRPr="00AF0FFA">
              <w:rPr>
                <w:sz w:val="24"/>
                <w:szCs w:val="24"/>
              </w:rPr>
              <w:t>Décret n°2-05-1534 relatif aux conditions d’élaboration et de révision du PDAIRE et du PNE</w:t>
            </w:r>
          </w:p>
        </w:tc>
        <w:tc>
          <w:tcPr>
            <w:tcW w:w="1328" w:type="dxa"/>
            <w:tcBorders>
              <w:top w:val="single" w:sz="4" w:space="0" w:color="auto"/>
              <w:bottom w:val="single" w:sz="4" w:space="0" w:color="auto"/>
            </w:tcBorders>
          </w:tcPr>
          <w:p w:rsidR="00AC6567" w:rsidRPr="00AF0FFA" w:rsidRDefault="00AC6567" w:rsidP="00DA3AAF">
            <w:pPr>
              <w:pStyle w:val="Header"/>
              <w:tabs>
                <w:tab w:val="left" w:pos="708"/>
              </w:tabs>
              <w:spacing w:before="120" w:after="120"/>
              <w:ind w:left="215" w:hanging="215"/>
              <w:jc w:val="center"/>
              <w:rPr>
                <w:sz w:val="24"/>
                <w:szCs w:val="24"/>
              </w:rPr>
            </w:pPr>
          </w:p>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20/9/2007</w:t>
            </w:r>
          </w:p>
          <w:p w:rsidR="00AC6567" w:rsidRPr="00AF0FFA" w:rsidRDefault="00AC6567" w:rsidP="00DA3AAF">
            <w:pPr>
              <w:pStyle w:val="Header"/>
              <w:tabs>
                <w:tab w:val="left" w:pos="708"/>
              </w:tabs>
              <w:spacing w:before="120" w:after="120"/>
              <w:ind w:left="215" w:hanging="215"/>
              <w:jc w:val="center"/>
              <w:rPr>
                <w:sz w:val="24"/>
                <w:szCs w:val="24"/>
              </w:rPr>
            </w:pPr>
          </w:p>
        </w:tc>
      </w:tr>
      <w:tr w:rsidR="00AC6567" w:rsidRPr="00AF0FFA">
        <w:trPr>
          <w:trHeight w:val="1315"/>
        </w:trPr>
        <w:tc>
          <w:tcPr>
            <w:tcW w:w="426" w:type="dxa"/>
            <w:tcBorders>
              <w:top w:val="single" w:sz="4" w:space="0" w:color="auto"/>
              <w:bottom w:val="single" w:sz="4" w:space="0" w:color="auto"/>
            </w:tcBorders>
          </w:tcPr>
          <w:p w:rsidR="00AC6567" w:rsidRPr="00AF0FFA" w:rsidRDefault="00AC6567" w:rsidP="00DA3AAF">
            <w:pPr>
              <w:pStyle w:val="Header"/>
              <w:tabs>
                <w:tab w:val="left" w:pos="708"/>
              </w:tabs>
              <w:spacing w:before="120" w:after="120"/>
              <w:rPr>
                <w:rFonts w:ascii="Times New Roman" w:hAnsi="Times New Roman" w:cs="Times New Roman"/>
                <w:b/>
                <w:bCs/>
                <w:sz w:val="24"/>
                <w:szCs w:val="24"/>
              </w:rPr>
            </w:pPr>
          </w:p>
          <w:p w:rsidR="00AC6567" w:rsidRPr="00AF0FFA" w:rsidRDefault="00AC6567" w:rsidP="00DA3AAF">
            <w:pPr>
              <w:pStyle w:val="Header"/>
              <w:tabs>
                <w:tab w:val="left" w:pos="708"/>
              </w:tabs>
              <w:spacing w:before="120" w:after="120"/>
              <w:rPr>
                <w:b/>
                <w:bCs/>
                <w:sz w:val="24"/>
                <w:szCs w:val="24"/>
              </w:rPr>
            </w:pPr>
            <w:r w:rsidRPr="00AF0FFA">
              <w:rPr>
                <w:b/>
                <w:bCs/>
                <w:sz w:val="24"/>
                <w:szCs w:val="24"/>
              </w:rPr>
              <w:t>27</w:t>
            </w:r>
          </w:p>
        </w:tc>
        <w:tc>
          <w:tcPr>
            <w:tcW w:w="8311" w:type="dxa"/>
            <w:tcBorders>
              <w:top w:val="single" w:sz="4" w:space="0" w:color="auto"/>
              <w:bottom w:val="single" w:sz="4" w:space="0" w:color="auto"/>
            </w:tcBorders>
          </w:tcPr>
          <w:p w:rsidR="00AC6567" w:rsidRPr="00AF0FFA" w:rsidRDefault="00AC6567" w:rsidP="00DA3AAF">
            <w:pPr>
              <w:pStyle w:val="Header"/>
              <w:tabs>
                <w:tab w:val="left" w:pos="708"/>
              </w:tabs>
              <w:spacing w:before="120" w:after="120"/>
              <w:rPr>
                <w:sz w:val="24"/>
                <w:szCs w:val="24"/>
              </w:rPr>
            </w:pPr>
          </w:p>
          <w:p w:rsidR="00AC6567" w:rsidRPr="00AF0FFA" w:rsidRDefault="00AC6567" w:rsidP="00DA3AAF">
            <w:pPr>
              <w:pStyle w:val="Header"/>
              <w:tabs>
                <w:tab w:val="left" w:pos="708"/>
              </w:tabs>
              <w:spacing w:before="120" w:after="120"/>
              <w:rPr>
                <w:sz w:val="24"/>
                <w:szCs w:val="24"/>
              </w:rPr>
            </w:pPr>
            <w:r w:rsidRPr="00AF0FFA">
              <w:rPr>
                <w:sz w:val="24"/>
                <w:szCs w:val="24"/>
              </w:rPr>
              <w:t>Décrets n° 2-08-508 et 2-08-509 du 16 janvier 2009 relatifs aux agences de bassins hydrauliques de Sakia El Hamra et Oued Eddahab et du Guir-Ziz-Rhéris.</w:t>
            </w:r>
          </w:p>
        </w:tc>
        <w:tc>
          <w:tcPr>
            <w:tcW w:w="1328" w:type="dxa"/>
            <w:tcBorders>
              <w:top w:val="single" w:sz="4" w:space="0" w:color="auto"/>
              <w:bottom w:val="single" w:sz="4" w:space="0" w:color="auto"/>
            </w:tcBorders>
          </w:tcPr>
          <w:p w:rsidR="00AC6567" w:rsidRPr="00AF0FFA" w:rsidRDefault="00AC6567" w:rsidP="00DA3AAF">
            <w:pPr>
              <w:pStyle w:val="Header"/>
              <w:tabs>
                <w:tab w:val="left" w:pos="708"/>
              </w:tabs>
              <w:spacing w:before="120" w:after="120"/>
              <w:ind w:left="215" w:hanging="215"/>
              <w:jc w:val="center"/>
              <w:rPr>
                <w:sz w:val="24"/>
                <w:szCs w:val="24"/>
              </w:rPr>
            </w:pPr>
          </w:p>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05/02/2009</w:t>
            </w:r>
          </w:p>
        </w:tc>
      </w:tr>
      <w:tr w:rsidR="00AC6567" w:rsidRPr="00AF0FFA">
        <w:trPr>
          <w:trHeight w:val="784"/>
        </w:trPr>
        <w:tc>
          <w:tcPr>
            <w:tcW w:w="426" w:type="dxa"/>
            <w:tcBorders>
              <w:top w:val="single" w:sz="4" w:space="0" w:color="auto"/>
              <w:bottom w:val="single" w:sz="4" w:space="0" w:color="auto"/>
            </w:tcBorders>
          </w:tcPr>
          <w:p w:rsidR="00AC6567" w:rsidRPr="00AF0FFA" w:rsidRDefault="00AC6567" w:rsidP="00DA3AAF">
            <w:pPr>
              <w:pStyle w:val="Header"/>
              <w:tabs>
                <w:tab w:val="left" w:pos="708"/>
              </w:tabs>
              <w:spacing w:before="120" w:after="120"/>
              <w:rPr>
                <w:rFonts w:ascii="Times New Roman" w:hAnsi="Times New Roman" w:cs="Times New Roman"/>
                <w:b/>
                <w:bCs/>
                <w:sz w:val="24"/>
                <w:szCs w:val="24"/>
              </w:rPr>
            </w:pPr>
          </w:p>
        </w:tc>
        <w:tc>
          <w:tcPr>
            <w:tcW w:w="8311" w:type="dxa"/>
            <w:tcBorders>
              <w:top w:val="single" w:sz="4" w:space="0" w:color="auto"/>
              <w:bottom w:val="single" w:sz="4" w:space="0" w:color="auto"/>
            </w:tcBorders>
          </w:tcPr>
          <w:p w:rsidR="00AC6567" w:rsidRPr="00AF0FFA" w:rsidRDefault="00AC6567" w:rsidP="00DA3AAF">
            <w:pPr>
              <w:pStyle w:val="Header"/>
              <w:tabs>
                <w:tab w:val="left" w:pos="708"/>
              </w:tabs>
              <w:spacing w:before="120" w:after="120"/>
              <w:rPr>
                <w:sz w:val="24"/>
                <w:szCs w:val="24"/>
              </w:rPr>
            </w:pPr>
            <w:r w:rsidRPr="00AF0FFA">
              <w:rPr>
                <w:sz w:val="24"/>
                <w:szCs w:val="24"/>
              </w:rPr>
              <w:t>Décret  n° fixant procédure autorisation et concession</w:t>
            </w:r>
          </w:p>
          <w:p w:rsidR="00AC6567" w:rsidRPr="00AF0FFA" w:rsidRDefault="00AC6567" w:rsidP="00DA3AAF">
            <w:pPr>
              <w:pStyle w:val="Header"/>
              <w:tabs>
                <w:tab w:val="left" w:pos="708"/>
              </w:tabs>
              <w:spacing w:before="120" w:after="120"/>
              <w:rPr>
                <w:sz w:val="24"/>
                <w:szCs w:val="24"/>
              </w:rPr>
            </w:pPr>
          </w:p>
        </w:tc>
        <w:tc>
          <w:tcPr>
            <w:tcW w:w="1328" w:type="dxa"/>
            <w:tcBorders>
              <w:top w:val="single" w:sz="4" w:space="0" w:color="auto"/>
              <w:bottom w:val="single" w:sz="4" w:space="0" w:color="auto"/>
            </w:tcBorders>
          </w:tcPr>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05/02/2009</w:t>
            </w:r>
          </w:p>
        </w:tc>
      </w:tr>
      <w:tr w:rsidR="00AC6567" w:rsidRPr="00AF0FFA">
        <w:trPr>
          <w:trHeight w:val="1245"/>
        </w:trPr>
        <w:tc>
          <w:tcPr>
            <w:tcW w:w="426" w:type="dxa"/>
            <w:tcBorders>
              <w:top w:val="single" w:sz="4" w:space="0" w:color="auto"/>
            </w:tcBorders>
          </w:tcPr>
          <w:p w:rsidR="00AC6567" w:rsidRPr="00AF0FFA" w:rsidRDefault="00AC6567" w:rsidP="00DA3AAF">
            <w:pPr>
              <w:pStyle w:val="Header"/>
              <w:tabs>
                <w:tab w:val="left" w:pos="708"/>
              </w:tabs>
              <w:spacing w:before="120" w:after="120"/>
              <w:rPr>
                <w:b/>
                <w:bCs/>
                <w:sz w:val="24"/>
                <w:szCs w:val="24"/>
              </w:rPr>
            </w:pPr>
          </w:p>
          <w:p w:rsidR="00AC6567" w:rsidRPr="00AF0FFA" w:rsidRDefault="00AC6567" w:rsidP="00DA3AAF">
            <w:pPr>
              <w:pStyle w:val="Header"/>
              <w:tabs>
                <w:tab w:val="left" w:pos="708"/>
              </w:tabs>
              <w:spacing w:before="120" w:after="120"/>
              <w:rPr>
                <w:b/>
                <w:bCs/>
                <w:sz w:val="24"/>
                <w:szCs w:val="24"/>
              </w:rPr>
            </w:pPr>
            <w:r w:rsidRPr="00AF0FFA">
              <w:rPr>
                <w:b/>
                <w:bCs/>
                <w:sz w:val="24"/>
                <w:szCs w:val="24"/>
              </w:rPr>
              <w:t>28</w:t>
            </w:r>
          </w:p>
        </w:tc>
        <w:tc>
          <w:tcPr>
            <w:tcW w:w="8311" w:type="dxa"/>
            <w:tcBorders>
              <w:top w:val="single" w:sz="4" w:space="0" w:color="auto"/>
            </w:tcBorders>
          </w:tcPr>
          <w:p w:rsidR="00AC6567" w:rsidRPr="00AF0FFA" w:rsidRDefault="00AC6567" w:rsidP="00DA3AAF">
            <w:pPr>
              <w:pStyle w:val="Header"/>
              <w:tabs>
                <w:tab w:val="left" w:pos="708"/>
              </w:tabs>
              <w:spacing w:before="120" w:after="120"/>
              <w:rPr>
                <w:sz w:val="24"/>
                <w:szCs w:val="24"/>
              </w:rPr>
            </w:pPr>
          </w:p>
          <w:p w:rsidR="00AC6567" w:rsidRPr="00AF0FFA" w:rsidRDefault="00AC6567" w:rsidP="00DA3AAF">
            <w:pPr>
              <w:pStyle w:val="Header"/>
              <w:tabs>
                <w:tab w:val="left" w:pos="708"/>
              </w:tabs>
              <w:spacing w:before="120" w:after="120"/>
              <w:rPr>
                <w:sz w:val="24"/>
                <w:szCs w:val="24"/>
              </w:rPr>
            </w:pPr>
            <w:r w:rsidRPr="00AF0FFA">
              <w:rPr>
                <w:sz w:val="24"/>
                <w:szCs w:val="24"/>
              </w:rPr>
              <w:t>Décret n° 2.13.665 du 30 ramadan 1434  portant la  prolongation du délai de déclaration des points de prélèvement d’eau existants</w:t>
            </w:r>
          </w:p>
        </w:tc>
        <w:tc>
          <w:tcPr>
            <w:tcW w:w="1328" w:type="dxa"/>
            <w:tcBorders>
              <w:top w:val="single" w:sz="4" w:space="0" w:color="auto"/>
            </w:tcBorders>
          </w:tcPr>
          <w:p w:rsidR="00AC6567" w:rsidRPr="00AF0FFA" w:rsidRDefault="00AC6567" w:rsidP="00DA3AAF">
            <w:pPr>
              <w:pStyle w:val="Header"/>
              <w:tabs>
                <w:tab w:val="left" w:pos="708"/>
              </w:tabs>
              <w:spacing w:before="120" w:after="120"/>
              <w:ind w:left="215" w:hanging="215"/>
              <w:jc w:val="center"/>
              <w:rPr>
                <w:sz w:val="24"/>
                <w:szCs w:val="24"/>
              </w:rPr>
            </w:pPr>
          </w:p>
          <w:p w:rsidR="00AC6567" w:rsidRPr="00AF0FFA" w:rsidRDefault="00AC6567" w:rsidP="00DA3AAF">
            <w:pPr>
              <w:pStyle w:val="Header"/>
              <w:tabs>
                <w:tab w:val="left" w:pos="708"/>
              </w:tabs>
              <w:spacing w:before="120" w:after="120"/>
              <w:ind w:left="215" w:hanging="215"/>
              <w:jc w:val="center"/>
              <w:rPr>
                <w:sz w:val="24"/>
                <w:szCs w:val="24"/>
              </w:rPr>
            </w:pPr>
            <w:r w:rsidRPr="00AF0FFA">
              <w:rPr>
                <w:sz w:val="24"/>
                <w:szCs w:val="24"/>
              </w:rPr>
              <w:t>03 /10/2013</w:t>
            </w:r>
          </w:p>
        </w:tc>
      </w:tr>
    </w:tbl>
    <w:p w:rsidR="00AC6567" w:rsidRPr="00155AEB" w:rsidRDefault="00AC6567" w:rsidP="00DA3AAF">
      <w:pPr>
        <w:spacing w:before="120" w:after="120" w:line="240" w:lineRule="auto"/>
        <w:rPr>
          <w:b/>
          <w:bCs/>
          <w:sz w:val="24"/>
          <w:szCs w:val="24"/>
          <w:lang w:eastAsia="en-GB"/>
        </w:rPr>
      </w:pPr>
    </w:p>
    <w:sectPr w:rsidR="00AC6567" w:rsidRPr="00155AEB" w:rsidSect="00DA3AAF">
      <w:pgSz w:w="11906" w:h="16838"/>
      <w:pgMar w:top="567" w:right="374" w:bottom="567" w:left="31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567" w:rsidRDefault="00AC6567" w:rsidP="006973A3">
      <w:pPr>
        <w:spacing w:after="0" w:line="240" w:lineRule="auto"/>
      </w:pPr>
      <w:r>
        <w:separator/>
      </w:r>
    </w:p>
  </w:endnote>
  <w:endnote w:type="continuationSeparator" w:id="0">
    <w:p w:rsidR="00AC6567" w:rsidRDefault="00AC6567" w:rsidP="00697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567" w:rsidRDefault="00AC6567">
    <w:pPr>
      <w:pStyle w:val="Footer"/>
      <w:jc w:val="right"/>
    </w:pPr>
    <w:fldSimple w:instr="PAGE   \* MERGEFORMAT">
      <w:r>
        <w:rPr>
          <w:noProof/>
        </w:rPr>
        <w:t>1</w:t>
      </w:r>
    </w:fldSimple>
  </w:p>
  <w:p w:rsidR="00AC6567" w:rsidRDefault="00AC6567">
    <w:pPr>
      <w:pStyle w:val="Footer"/>
      <w:jc w:val="right"/>
    </w:pPr>
  </w:p>
  <w:p w:rsidR="00AC6567" w:rsidRPr="002B7B5A" w:rsidRDefault="00AC6567" w:rsidP="000521BC">
    <w:pPr>
      <w:pStyle w:val="Footer"/>
      <w:pBdr>
        <w:top w:val="single" w:sz="4" w:space="1" w:color="auto"/>
      </w:pBdr>
      <w:jc w:val="both"/>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567" w:rsidRDefault="00AC6567" w:rsidP="006973A3">
      <w:pPr>
        <w:spacing w:after="0" w:line="240" w:lineRule="auto"/>
      </w:pPr>
      <w:r>
        <w:separator/>
      </w:r>
    </w:p>
  </w:footnote>
  <w:footnote w:type="continuationSeparator" w:id="0">
    <w:p w:rsidR="00AC6567" w:rsidRDefault="00AC6567" w:rsidP="006973A3">
      <w:pPr>
        <w:spacing w:after="0" w:line="240" w:lineRule="auto"/>
      </w:pPr>
      <w:r>
        <w:continuationSeparator/>
      </w:r>
    </w:p>
  </w:footnote>
  <w:footnote w:id="1">
    <w:p w:rsidR="00AC6567" w:rsidRDefault="00AC6567" w:rsidP="00B510C2">
      <w:pPr>
        <w:pStyle w:val="NormalWeb"/>
        <w:spacing w:after="0" w:line="240" w:lineRule="auto"/>
        <w:jc w:val="both"/>
      </w:pPr>
      <w:r w:rsidRPr="00B510C2">
        <w:rPr>
          <w:rStyle w:val="FootnoteReference"/>
          <w:rFonts w:cs="Calibri"/>
          <w:sz w:val="16"/>
          <w:szCs w:val="16"/>
        </w:rPr>
        <w:footnoteRef/>
      </w:r>
      <w:r w:rsidRPr="00B510C2">
        <w:rPr>
          <w:rFonts w:cs="Calibri"/>
          <w:sz w:val="16"/>
          <w:szCs w:val="16"/>
        </w:rPr>
        <w:t xml:space="preserve"> </w:t>
      </w:r>
      <w:r w:rsidRPr="00B510C2">
        <w:rPr>
          <w:rFonts w:cs="Calibri"/>
          <w:sz w:val="16"/>
          <w:szCs w:val="16"/>
          <w:lang w:eastAsia="fr-FR"/>
        </w:rPr>
        <w:t xml:space="preserve">La GIRE : la </w:t>
      </w:r>
      <w:r w:rsidRPr="00B510C2">
        <w:rPr>
          <w:rFonts w:cs="Calibri"/>
          <w:b/>
          <w:bCs/>
          <w:sz w:val="16"/>
          <w:szCs w:val="16"/>
          <w:lang w:eastAsia="fr-FR"/>
        </w:rPr>
        <w:t>Gestion Intégrée des Ressources en Eau</w:t>
      </w:r>
      <w:r w:rsidRPr="00B510C2">
        <w:rPr>
          <w:rFonts w:cs="Calibri"/>
          <w:sz w:val="16"/>
          <w:szCs w:val="16"/>
          <w:lang w:eastAsia="fr-FR"/>
        </w:rPr>
        <w:t>, correspond à l'</w:t>
      </w:r>
      <w:r w:rsidRPr="00B510C2">
        <w:rPr>
          <w:rFonts w:cs="Calibri"/>
          <w:b/>
          <w:bCs/>
          <w:sz w:val="16"/>
          <w:szCs w:val="16"/>
          <w:lang w:eastAsia="fr-FR"/>
        </w:rPr>
        <w:t>IWRM</w:t>
      </w:r>
      <w:r w:rsidRPr="00B510C2">
        <w:rPr>
          <w:rFonts w:cs="Calibri"/>
          <w:sz w:val="16"/>
          <w:szCs w:val="16"/>
          <w:lang w:eastAsia="fr-FR"/>
        </w:rPr>
        <w:t xml:space="preserve"> - </w:t>
      </w:r>
      <w:r w:rsidRPr="00B510C2">
        <w:rPr>
          <w:rFonts w:cs="Calibri"/>
          <w:i/>
          <w:iCs/>
          <w:sz w:val="16"/>
          <w:szCs w:val="16"/>
          <w:lang w:eastAsia="fr-FR"/>
        </w:rPr>
        <w:t>Integrated Water Resources Management</w:t>
      </w:r>
      <w:r w:rsidRPr="00B510C2">
        <w:rPr>
          <w:rFonts w:cs="Calibri"/>
          <w:sz w:val="16"/>
          <w:szCs w:val="16"/>
          <w:lang w:eastAsia="fr-FR"/>
        </w:rPr>
        <w:t xml:space="preserve">. L'IWRM a notamment été promu par le </w:t>
      </w:r>
      <w:hyperlink r:id="rId1" w:tooltip="Partenariat mondial de l'eau" w:history="1">
        <w:r w:rsidRPr="00B510C2">
          <w:rPr>
            <w:rFonts w:cs="Calibri"/>
            <w:color w:val="0000FF"/>
            <w:sz w:val="16"/>
            <w:szCs w:val="16"/>
            <w:u w:val="single"/>
            <w:lang w:eastAsia="fr-FR"/>
          </w:rPr>
          <w:t>Partenariat Mondial de l'eau (GWP)</w:t>
        </w:r>
      </w:hyperlink>
      <w:r w:rsidRPr="00B510C2">
        <w:rPr>
          <w:rFonts w:cs="Calibri"/>
          <w:sz w:val="16"/>
          <w:szCs w:val="16"/>
          <w:lang w:eastAsia="fr-FR"/>
        </w:rPr>
        <w:t>, en 2000</w:t>
      </w:r>
      <w:r w:rsidRPr="00B510C2">
        <w:rPr>
          <w:rFonts w:cs="Calibri"/>
          <w:vanish/>
          <w:color w:val="0000FF"/>
          <w:sz w:val="16"/>
          <w:szCs w:val="16"/>
          <w:u w:val="single"/>
          <w:vertAlign w:val="superscript"/>
          <w:lang w:eastAsia="fr-FR"/>
        </w:rPr>
        <w:t>[]</w:t>
      </w:r>
      <w:r w:rsidRPr="00B510C2">
        <w:rPr>
          <w:rFonts w:cs="Calibri"/>
          <w:sz w:val="16"/>
          <w:szCs w:val="16"/>
          <w:lang w:eastAsia="fr-FR"/>
        </w:rPr>
        <w:t xml:space="preserve">. Ce programme, associé à une méthode, est axé sur la gestion des </w:t>
      </w:r>
      <w:hyperlink r:id="rId2" w:tooltip="Bassins versants" w:history="1">
        <w:r w:rsidRPr="00B510C2">
          <w:rPr>
            <w:rFonts w:cs="Calibri"/>
            <w:color w:val="0000FF"/>
            <w:sz w:val="16"/>
            <w:szCs w:val="16"/>
            <w:u w:val="single"/>
            <w:lang w:eastAsia="fr-FR"/>
          </w:rPr>
          <w:t>bassins versants</w:t>
        </w:r>
      </w:hyperlink>
      <w:r w:rsidRPr="00B510C2">
        <w:rPr>
          <w:rFonts w:cs="Calibri"/>
          <w:sz w:val="16"/>
          <w:szCs w:val="16"/>
          <w:lang w:eastAsia="fr-FR"/>
        </w:rPr>
        <w:t xml:space="preserve">, considérés à l'échelle du </w:t>
      </w:r>
      <w:hyperlink r:id="rId3" w:tooltip="Fleuve" w:history="1">
        <w:r w:rsidRPr="00B510C2">
          <w:rPr>
            <w:rFonts w:cs="Calibri"/>
            <w:color w:val="0000FF"/>
            <w:sz w:val="16"/>
            <w:szCs w:val="16"/>
            <w:u w:val="single"/>
            <w:lang w:eastAsia="fr-FR"/>
          </w:rPr>
          <w:t>fleuve</w:t>
        </w:r>
      </w:hyperlink>
      <w:r w:rsidRPr="00B510C2">
        <w:rPr>
          <w:rFonts w:cs="Calibri"/>
          <w:sz w:val="16"/>
          <w:szCs w:val="16"/>
          <w:lang w:eastAsia="fr-FR"/>
        </w:rPr>
        <w:t xml:space="preserve">. L'IWRM est « un processus favorisant le développement et la gestion coordonnés des </w:t>
      </w:r>
      <w:hyperlink r:id="rId4" w:tooltip="Ressources en eau" w:history="1">
        <w:r w:rsidRPr="00B510C2">
          <w:rPr>
            <w:rFonts w:cs="Calibri"/>
            <w:color w:val="0000FF"/>
            <w:sz w:val="16"/>
            <w:szCs w:val="16"/>
            <w:u w:val="single"/>
            <w:lang w:eastAsia="fr-FR"/>
          </w:rPr>
          <w:t>ressources en eau</w:t>
        </w:r>
      </w:hyperlink>
      <w:r w:rsidRPr="00B510C2">
        <w:rPr>
          <w:rFonts w:cs="Calibri"/>
          <w:sz w:val="16"/>
          <w:szCs w:val="16"/>
          <w:lang w:eastAsia="fr-FR"/>
        </w:rPr>
        <w:t>, du sol et des ressources associées, permettant de maximiser les bénéfices économiques et sociaux, de façon équitable sans compromettre la pérennité des écosystèmes vitaux » (GWP, 2000).</w:t>
      </w:r>
    </w:p>
  </w:footnote>
  <w:footnote w:id="2">
    <w:p w:rsidR="00AC6567" w:rsidRDefault="00AC6567">
      <w:pPr>
        <w:pStyle w:val="FootnoteText"/>
      </w:pPr>
      <w:r>
        <w:rPr>
          <w:rStyle w:val="FootnoteReference"/>
        </w:rPr>
        <w:footnoteRef/>
      </w:r>
      <w:r>
        <w:t xml:space="preserve"> </w:t>
      </w:r>
      <w:r>
        <w:rPr>
          <w:lang w:val="fr-BE"/>
        </w:rPr>
        <w:t>Délimitation du bassin selon la définition de la DCE et non pas selon le découpage administrative</w:t>
      </w:r>
      <w:bookmarkStart w:id="2" w:name="_GoBack"/>
      <w:bookmarkEnd w:id="2"/>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21D9C"/>
    <w:multiLevelType w:val="hybridMultilevel"/>
    <w:tmpl w:val="1E84FEDA"/>
    <w:lvl w:ilvl="0" w:tplc="0C323158">
      <w:start w:val="1"/>
      <w:numFmt w:val="lowerRoman"/>
      <w:lvlText w:val="(%1)"/>
      <w:lvlJc w:val="left"/>
      <w:pPr>
        <w:ind w:left="360" w:hanging="360"/>
      </w:pPr>
      <w:rPr>
        <w:rFonts w:hint="default"/>
      </w:rPr>
    </w:lvl>
    <w:lvl w:ilvl="1" w:tplc="0C323158">
      <w:start w:val="1"/>
      <w:numFmt w:val="lowerRoman"/>
      <w:lvlText w:val="(%2)"/>
      <w:lvlJc w:val="left"/>
      <w:pPr>
        <w:ind w:left="1080" w:hanging="360"/>
      </w:pPr>
      <w:rPr>
        <w:rFonts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
    <w:nsid w:val="09193109"/>
    <w:multiLevelType w:val="hybridMultilevel"/>
    <w:tmpl w:val="A4085352"/>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
    <w:nsid w:val="0DD677F8"/>
    <w:multiLevelType w:val="hybridMultilevel"/>
    <w:tmpl w:val="7B54CB4E"/>
    <w:lvl w:ilvl="0" w:tplc="D8E08D72">
      <w:numFmt w:val="bullet"/>
      <w:lvlText w:val="-"/>
      <w:lvlJc w:val="left"/>
      <w:pPr>
        <w:tabs>
          <w:tab w:val="num" w:pos="900"/>
        </w:tabs>
        <w:ind w:left="900" w:hanging="360"/>
      </w:pPr>
      <w:rPr>
        <w:rFonts w:ascii="Calibri" w:eastAsia="Times New Roman" w:hAnsi="Calibri" w:hint="default"/>
        <w:sz w:val="16"/>
        <w:szCs w:val="16"/>
      </w:rPr>
    </w:lvl>
    <w:lvl w:ilvl="1" w:tplc="040C0003">
      <w:start w:val="1"/>
      <w:numFmt w:val="bullet"/>
      <w:lvlText w:val="o"/>
      <w:lvlJc w:val="left"/>
      <w:pPr>
        <w:ind w:left="1620" w:hanging="360"/>
      </w:pPr>
      <w:rPr>
        <w:rFonts w:ascii="Courier New" w:hAnsi="Courier New" w:cs="Courier New" w:hint="default"/>
      </w:rPr>
    </w:lvl>
    <w:lvl w:ilvl="2" w:tplc="040C0005">
      <w:start w:val="1"/>
      <w:numFmt w:val="bullet"/>
      <w:lvlText w:val=""/>
      <w:lvlJc w:val="left"/>
      <w:pPr>
        <w:ind w:left="2340" w:hanging="360"/>
      </w:pPr>
      <w:rPr>
        <w:rFonts w:ascii="Wingdings" w:hAnsi="Wingdings" w:cs="Wingdings" w:hint="default"/>
      </w:rPr>
    </w:lvl>
    <w:lvl w:ilvl="3" w:tplc="040C0001">
      <w:start w:val="1"/>
      <w:numFmt w:val="bullet"/>
      <w:lvlText w:val=""/>
      <w:lvlJc w:val="left"/>
      <w:pPr>
        <w:ind w:left="3060" w:hanging="360"/>
      </w:pPr>
      <w:rPr>
        <w:rFonts w:ascii="Symbol" w:hAnsi="Symbol" w:cs="Symbol" w:hint="default"/>
      </w:rPr>
    </w:lvl>
    <w:lvl w:ilvl="4" w:tplc="040C0003">
      <w:start w:val="1"/>
      <w:numFmt w:val="bullet"/>
      <w:lvlText w:val="o"/>
      <w:lvlJc w:val="left"/>
      <w:pPr>
        <w:ind w:left="3780" w:hanging="360"/>
      </w:pPr>
      <w:rPr>
        <w:rFonts w:ascii="Courier New" w:hAnsi="Courier New" w:cs="Courier New" w:hint="default"/>
      </w:rPr>
    </w:lvl>
    <w:lvl w:ilvl="5" w:tplc="040C0005">
      <w:start w:val="1"/>
      <w:numFmt w:val="bullet"/>
      <w:lvlText w:val=""/>
      <w:lvlJc w:val="left"/>
      <w:pPr>
        <w:ind w:left="4500" w:hanging="360"/>
      </w:pPr>
      <w:rPr>
        <w:rFonts w:ascii="Wingdings" w:hAnsi="Wingdings" w:cs="Wingdings" w:hint="default"/>
      </w:rPr>
    </w:lvl>
    <w:lvl w:ilvl="6" w:tplc="040C0001">
      <w:start w:val="1"/>
      <w:numFmt w:val="bullet"/>
      <w:lvlText w:val=""/>
      <w:lvlJc w:val="left"/>
      <w:pPr>
        <w:ind w:left="5220" w:hanging="360"/>
      </w:pPr>
      <w:rPr>
        <w:rFonts w:ascii="Symbol" w:hAnsi="Symbol" w:cs="Symbol" w:hint="default"/>
      </w:rPr>
    </w:lvl>
    <w:lvl w:ilvl="7" w:tplc="040C0003">
      <w:start w:val="1"/>
      <w:numFmt w:val="bullet"/>
      <w:lvlText w:val="o"/>
      <w:lvlJc w:val="left"/>
      <w:pPr>
        <w:ind w:left="5940" w:hanging="360"/>
      </w:pPr>
      <w:rPr>
        <w:rFonts w:ascii="Courier New" w:hAnsi="Courier New" w:cs="Courier New" w:hint="default"/>
      </w:rPr>
    </w:lvl>
    <w:lvl w:ilvl="8" w:tplc="040C0005">
      <w:start w:val="1"/>
      <w:numFmt w:val="bullet"/>
      <w:lvlText w:val=""/>
      <w:lvlJc w:val="left"/>
      <w:pPr>
        <w:ind w:left="6660" w:hanging="360"/>
      </w:pPr>
      <w:rPr>
        <w:rFonts w:ascii="Wingdings" w:hAnsi="Wingdings" w:cs="Wingdings" w:hint="default"/>
      </w:rPr>
    </w:lvl>
  </w:abstractNum>
  <w:abstractNum w:abstractNumId="3">
    <w:nsid w:val="0EE81D65"/>
    <w:multiLevelType w:val="multilevel"/>
    <w:tmpl w:val="DCB24A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5A322C"/>
    <w:multiLevelType w:val="hybridMultilevel"/>
    <w:tmpl w:val="1026013A"/>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5">
    <w:nsid w:val="0F9B4F98"/>
    <w:multiLevelType w:val="multilevel"/>
    <w:tmpl w:val="59E8878E"/>
    <w:lvl w:ilvl="0">
      <w:start w:val="1"/>
      <w:numFmt w:val="decimal"/>
      <w:lvlRestart w:val="0"/>
      <w:pStyle w:val="Heading1"/>
      <w:lvlText w:val="%1."/>
      <w:lvlJc w:val="left"/>
      <w:pPr>
        <w:tabs>
          <w:tab w:val="num" w:pos="850"/>
        </w:tabs>
        <w:ind w:left="850" w:hanging="850"/>
      </w:pPr>
      <w:rPr>
        <w:rFonts w:hint="default"/>
      </w:rPr>
    </w:lvl>
    <w:lvl w:ilvl="1">
      <w:start w:val="1"/>
      <w:numFmt w:val="decimal"/>
      <w:pStyle w:val="Heading2"/>
      <w:lvlText w:val="%1.%2."/>
      <w:lvlJc w:val="left"/>
      <w:pPr>
        <w:tabs>
          <w:tab w:val="num" w:pos="850"/>
        </w:tabs>
        <w:ind w:left="850" w:hanging="850"/>
      </w:pPr>
      <w:rPr>
        <w:rFonts w:hint="default"/>
      </w:rPr>
    </w:lvl>
    <w:lvl w:ilvl="2">
      <w:start w:val="2"/>
      <w:numFmt w:val="none"/>
      <w:pStyle w:val="Heading3"/>
      <w:lvlText w:val="2.3.1"/>
      <w:lvlJc w:val="left"/>
      <w:pPr>
        <w:tabs>
          <w:tab w:val="num" w:pos="850"/>
        </w:tabs>
        <w:ind w:left="850" w:hanging="850"/>
      </w:pPr>
      <w:rPr>
        <w:rFonts w:hint="default"/>
      </w:rPr>
    </w:lvl>
    <w:lvl w:ilvl="3">
      <w:start w:val="1"/>
      <w:numFmt w:val="decimal"/>
      <w:pStyle w:val="Heading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3723442"/>
    <w:multiLevelType w:val="hybridMultilevel"/>
    <w:tmpl w:val="BB0AE812"/>
    <w:lvl w:ilvl="0" w:tplc="BDE47016">
      <w:numFmt w:val="bullet"/>
      <w:lvlText w:val="-"/>
      <w:lvlJc w:val="left"/>
      <w:pPr>
        <w:ind w:left="720" w:hanging="360"/>
      </w:pPr>
      <w:rPr>
        <w:rFonts w:ascii="Calibri" w:eastAsia="Times New Roman" w:hAnsi="Calibri" w:hint="default"/>
        <w:b w:val="0"/>
        <w:bCs w:val="0"/>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7">
    <w:nsid w:val="16C11CF6"/>
    <w:multiLevelType w:val="hybridMultilevel"/>
    <w:tmpl w:val="6316DD1C"/>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8">
    <w:nsid w:val="16F850D7"/>
    <w:multiLevelType w:val="hybridMultilevel"/>
    <w:tmpl w:val="37B0D212"/>
    <w:lvl w:ilvl="0" w:tplc="D8E08D72">
      <w:numFmt w:val="bullet"/>
      <w:lvlText w:val="-"/>
      <w:lvlJc w:val="left"/>
      <w:pPr>
        <w:tabs>
          <w:tab w:val="num" w:pos="360"/>
        </w:tabs>
        <w:ind w:left="360" w:hanging="360"/>
      </w:pPr>
      <w:rPr>
        <w:rFonts w:ascii="Calibri" w:eastAsia="Times New Roman" w:hAnsi="Calibri" w:hint="default"/>
        <w:sz w:val="16"/>
        <w:szCs w:val="16"/>
      </w:rPr>
    </w:lvl>
    <w:lvl w:ilvl="1" w:tplc="040C0001">
      <w:start w:val="1"/>
      <w:numFmt w:val="bullet"/>
      <w:lvlText w:val=""/>
      <w:lvlJc w:val="left"/>
      <w:pPr>
        <w:tabs>
          <w:tab w:val="num" w:pos="1080"/>
        </w:tabs>
        <w:ind w:left="1080" w:hanging="360"/>
      </w:pPr>
      <w:rPr>
        <w:rFonts w:ascii="Symbol" w:hAnsi="Symbol" w:cs="Symbol" w:hint="default"/>
      </w:rPr>
    </w:lvl>
    <w:lvl w:ilvl="2" w:tplc="063C68A8">
      <w:numFmt w:val="bullet"/>
      <w:lvlText w:val="-"/>
      <w:lvlJc w:val="left"/>
      <w:pPr>
        <w:tabs>
          <w:tab w:val="num" w:pos="1800"/>
        </w:tabs>
        <w:ind w:left="1800" w:hanging="360"/>
      </w:pPr>
      <w:rPr>
        <w:rFonts w:ascii="Times New Roman" w:eastAsia="Times New Roman" w:hAnsi="Times New Roman"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abstractNum w:abstractNumId="9">
    <w:nsid w:val="1C1D3E0D"/>
    <w:multiLevelType w:val="hybridMultilevel"/>
    <w:tmpl w:val="543866F8"/>
    <w:lvl w:ilvl="0" w:tplc="D8E08D72">
      <w:numFmt w:val="bullet"/>
      <w:lvlText w:val="-"/>
      <w:lvlJc w:val="left"/>
      <w:pPr>
        <w:ind w:left="360" w:hanging="360"/>
      </w:pPr>
      <w:rPr>
        <w:rFonts w:ascii="Calibri" w:eastAsia="Times New Roman" w:hAnsi="Calibri" w:hint="default"/>
        <w:sz w:val="16"/>
        <w:szCs w:val="16"/>
      </w:rPr>
    </w:lvl>
    <w:lvl w:ilvl="1" w:tplc="45DED012">
      <w:numFmt w:val="bullet"/>
      <w:lvlText w:val="-"/>
      <w:lvlJc w:val="left"/>
      <w:pPr>
        <w:ind w:left="1080" w:hanging="360"/>
      </w:pPr>
      <w:rPr>
        <w:rFonts w:ascii="Calibri" w:eastAsia="Times New Roman" w:hAnsi="Calibri"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10">
    <w:nsid w:val="1C62083C"/>
    <w:multiLevelType w:val="hybridMultilevel"/>
    <w:tmpl w:val="3CBE9E00"/>
    <w:lvl w:ilvl="0" w:tplc="D8E08D72">
      <w:numFmt w:val="bullet"/>
      <w:lvlText w:val="-"/>
      <w:lvlJc w:val="left"/>
      <w:pPr>
        <w:ind w:left="720" w:hanging="360"/>
      </w:pPr>
      <w:rPr>
        <w:rFonts w:ascii="Calibri" w:eastAsia="Times New Roman" w:hAnsi="Calibri" w:hint="default"/>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1">
    <w:nsid w:val="25771208"/>
    <w:multiLevelType w:val="multilevel"/>
    <w:tmpl w:val="4080E08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4266275"/>
    <w:multiLevelType w:val="hybridMultilevel"/>
    <w:tmpl w:val="FB7416CE"/>
    <w:lvl w:ilvl="0" w:tplc="D8E08D72">
      <w:numFmt w:val="bullet"/>
      <w:lvlText w:val="-"/>
      <w:lvlJc w:val="left"/>
      <w:pPr>
        <w:ind w:left="720" w:hanging="360"/>
      </w:pPr>
      <w:rPr>
        <w:rFonts w:ascii="Calibri" w:eastAsia="Times New Roman" w:hAnsi="Calibri" w:hint="default"/>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3">
    <w:nsid w:val="37AB5B61"/>
    <w:multiLevelType w:val="hybridMultilevel"/>
    <w:tmpl w:val="CBA8772E"/>
    <w:lvl w:ilvl="0" w:tplc="D8E08D72">
      <w:numFmt w:val="bullet"/>
      <w:lvlText w:val="-"/>
      <w:lvlJc w:val="left"/>
      <w:pPr>
        <w:ind w:left="360" w:hanging="360"/>
      </w:pPr>
      <w:rPr>
        <w:rFonts w:ascii="Calibri" w:eastAsia="Times New Roman" w:hAnsi="Calibri" w:hint="default"/>
        <w:sz w:val="16"/>
        <w:szCs w:val="16"/>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4">
    <w:nsid w:val="3B3C20A9"/>
    <w:multiLevelType w:val="hybridMultilevel"/>
    <w:tmpl w:val="6AEE8F70"/>
    <w:lvl w:ilvl="0" w:tplc="D8E08D72">
      <w:numFmt w:val="bullet"/>
      <w:lvlText w:val="-"/>
      <w:lvlJc w:val="left"/>
      <w:pPr>
        <w:ind w:left="360" w:hanging="360"/>
      </w:pPr>
      <w:rPr>
        <w:rFonts w:ascii="Calibri" w:eastAsia="Times New Roman" w:hAnsi="Calibri" w:hint="default"/>
        <w:sz w:val="16"/>
        <w:szCs w:val="16"/>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5">
    <w:nsid w:val="3D802AF9"/>
    <w:multiLevelType w:val="hybridMultilevel"/>
    <w:tmpl w:val="A5A8C9B0"/>
    <w:lvl w:ilvl="0" w:tplc="D8E08D72">
      <w:numFmt w:val="bullet"/>
      <w:lvlText w:val="-"/>
      <w:lvlJc w:val="left"/>
      <w:pPr>
        <w:ind w:left="720" w:hanging="360"/>
      </w:pPr>
      <w:rPr>
        <w:rFonts w:ascii="Calibri" w:eastAsia="Times New Roman" w:hAnsi="Calibri" w:hint="default"/>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6">
    <w:nsid w:val="3F735B34"/>
    <w:multiLevelType w:val="hybridMultilevel"/>
    <w:tmpl w:val="B60A54F2"/>
    <w:lvl w:ilvl="0" w:tplc="08090005">
      <w:start w:val="1"/>
      <w:numFmt w:val="bullet"/>
      <w:lvlText w:val=""/>
      <w:lvlJc w:val="left"/>
      <w:pPr>
        <w:tabs>
          <w:tab w:val="num" w:pos="720"/>
        </w:tabs>
        <w:ind w:left="720" w:hanging="360"/>
      </w:pPr>
      <w:rPr>
        <w:rFonts w:ascii="Symbol" w:hAnsi="Symbol" w:cs="Symbol" w:hint="default"/>
        <w:color w:val="auto"/>
      </w:rPr>
    </w:lvl>
    <w:lvl w:ilvl="1" w:tplc="08090003">
      <w:start w:val="455"/>
      <w:numFmt w:val="bullet"/>
      <w:lvlText w:val=""/>
      <w:lvlJc w:val="left"/>
      <w:pPr>
        <w:tabs>
          <w:tab w:val="num" w:pos="1774"/>
        </w:tabs>
        <w:ind w:left="1774" w:hanging="360"/>
      </w:pPr>
      <w:rPr>
        <w:rFonts w:ascii="Symbol" w:eastAsia="Times New Roman" w:hAnsi="Symbol" w:hint="default"/>
        <w:color w:val="auto"/>
      </w:rPr>
    </w:lvl>
    <w:lvl w:ilvl="2" w:tplc="08090005">
      <w:start w:val="1"/>
      <w:numFmt w:val="bullet"/>
      <w:lvlText w:val=""/>
      <w:lvlJc w:val="left"/>
      <w:pPr>
        <w:tabs>
          <w:tab w:val="num" w:pos="2494"/>
        </w:tabs>
        <w:ind w:left="2494" w:hanging="360"/>
      </w:pPr>
      <w:rPr>
        <w:rFonts w:ascii="Wingdings" w:hAnsi="Wingdings" w:cs="Wingdings" w:hint="default"/>
      </w:rPr>
    </w:lvl>
    <w:lvl w:ilvl="3" w:tplc="08090001">
      <w:start w:val="1"/>
      <w:numFmt w:val="bullet"/>
      <w:lvlText w:val=""/>
      <w:lvlJc w:val="left"/>
      <w:pPr>
        <w:tabs>
          <w:tab w:val="num" w:pos="3214"/>
        </w:tabs>
        <w:ind w:left="3214" w:hanging="360"/>
      </w:pPr>
      <w:rPr>
        <w:rFonts w:ascii="Symbol" w:hAnsi="Symbol" w:cs="Symbol" w:hint="default"/>
      </w:rPr>
    </w:lvl>
    <w:lvl w:ilvl="4" w:tplc="08090003">
      <w:start w:val="1"/>
      <w:numFmt w:val="bullet"/>
      <w:lvlText w:val="o"/>
      <w:lvlJc w:val="left"/>
      <w:pPr>
        <w:tabs>
          <w:tab w:val="num" w:pos="3934"/>
        </w:tabs>
        <w:ind w:left="3934" w:hanging="360"/>
      </w:pPr>
      <w:rPr>
        <w:rFonts w:ascii="Courier New" w:hAnsi="Courier New" w:cs="Courier New" w:hint="default"/>
      </w:rPr>
    </w:lvl>
    <w:lvl w:ilvl="5" w:tplc="08090005">
      <w:start w:val="1"/>
      <w:numFmt w:val="bullet"/>
      <w:lvlText w:val=""/>
      <w:lvlJc w:val="left"/>
      <w:pPr>
        <w:tabs>
          <w:tab w:val="num" w:pos="4654"/>
        </w:tabs>
        <w:ind w:left="4654" w:hanging="360"/>
      </w:pPr>
      <w:rPr>
        <w:rFonts w:ascii="Wingdings" w:hAnsi="Wingdings" w:cs="Wingdings" w:hint="default"/>
      </w:rPr>
    </w:lvl>
    <w:lvl w:ilvl="6" w:tplc="08090001">
      <w:start w:val="1"/>
      <w:numFmt w:val="bullet"/>
      <w:lvlText w:val=""/>
      <w:lvlJc w:val="left"/>
      <w:pPr>
        <w:tabs>
          <w:tab w:val="num" w:pos="5374"/>
        </w:tabs>
        <w:ind w:left="5374" w:hanging="360"/>
      </w:pPr>
      <w:rPr>
        <w:rFonts w:ascii="Symbol" w:hAnsi="Symbol" w:cs="Symbol" w:hint="default"/>
      </w:rPr>
    </w:lvl>
    <w:lvl w:ilvl="7" w:tplc="08090003">
      <w:start w:val="1"/>
      <w:numFmt w:val="bullet"/>
      <w:lvlText w:val="o"/>
      <w:lvlJc w:val="left"/>
      <w:pPr>
        <w:tabs>
          <w:tab w:val="num" w:pos="6094"/>
        </w:tabs>
        <w:ind w:left="6094" w:hanging="360"/>
      </w:pPr>
      <w:rPr>
        <w:rFonts w:ascii="Courier New" w:hAnsi="Courier New" w:cs="Courier New" w:hint="default"/>
      </w:rPr>
    </w:lvl>
    <w:lvl w:ilvl="8" w:tplc="08090005">
      <w:start w:val="1"/>
      <w:numFmt w:val="bullet"/>
      <w:lvlText w:val=""/>
      <w:lvlJc w:val="left"/>
      <w:pPr>
        <w:tabs>
          <w:tab w:val="num" w:pos="6814"/>
        </w:tabs>
        <w:ind w:left="6814" w:hanging="360"/>
      </w:pPr>
      <w:rPr>
        <w:rFonts w:ascii="Wingdings" w:hAnsi="Wingdings" w:cs="Wingdings" w:hint="default"/>
      </w:rPr>
    </w:lvl>
  </w:abstractNum>
  <w:abstractNum w:abstractNumId="17">
    <w:nsid w:val="40CE4F92"/>
    <w:multiLevelType w:val="multilevel"/>
    <w:tmpl w:val="4670CB12"/>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44AC4C3E"/>
    <w:multiLevelType w:val="hybridMultilevel"/>
    <w:tmpl w:val="52CAA5E6"/>
    <w:lvl w:ilvl="0" w:tplc="040C000D">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9">
    <w:nsid w:val="4D144253"/>
    <w:multiLevelType w:val="hybridMultilevel"/>
    <w:tmpl w:val="66D6882A"/>
    <w:lvl w:ilvl="0" w:tplc="D8E08D72">
      <w:numFmt w:val="bullet"/>
      <w:lvlText w:val="-"/>
      <w:lvlJc w:val="left"/>
      <w:pPr>
        <w:tabs>
          <w:tab w:val="num" w:pos="360"/>
        </w:tabs>
        <w:ind w:left="360" w:hanging="360"/>
      </w:pPr>
      <w:rPr>
        <w:rFonts w:ascii="Calibri" w:eastAsia="Times New Roman" w:hAnsi="Calibri" w:hint="default"/>
        <w:sz w:val="16"/>
        <w:szCs w:val="16"/>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cs="Wingdings" w:hint="default"/>
      </w:rPr>
    </w:lvl>
    <w:lvl w:ilvl="3" w:tplc="0409000F">
      <w:start w:val="1"/>
      <w:numFmt w:val="bullet"/>
      <w:lvlText w:val=""/>
      <w:lvlJc w:val="left"/>
      <w:pPr>
        <w:tabs>
          <w:tab w:val="num" w:pos="2160"/>
        </w:tabs>
        <w:ind w:left="2160" w:hanging="360"/>
      </w:pPr>
      <w:rPr>
        <w:rFonts w:ascii="Symbol" w:hAnsi="Symbol" w:cs="Symbol" w:hint="default"/>
      </w:rPr>
    </w:lvl>
    <w:lvl w:ilvl="4" w:tplc="04090019">
      <w:start w:val="1"/>
      <w:numFmt w:val="bullet"/>
      <w:lvlText w:val="o"/>
      <w:lvlJc w:val="left"/>
      <w:pPr>
        <w:tabs>
          <w:tab w:val="num" w:pos="2880"/>
        </w:tabs>
        <w:ind w:left="2880" w:hanging="360"/>
      </w:pPr>
      <w:rPr>
        <w:rFonts w:ascii="Courier New" w:hAnsi="Courier New" w:cs="Courier New" w:hint="default"/>
      </w:rPr>
    </w:lvl>
    <w:lvl w:ilvl="5" w:tplc="0409001B">
      <w:start w:val="1"/>
      <w:numFmt w:val="bullet"/>
      <w:lvlText w:val=""/>
      <w:lvlJc w:val="left"/>
      <w:pPr>
        <w:tabs>
          <w:tab w:val="num" w:pos="3600"/>
        </w:tabs>
        <w:ind w:left="3600" w:hanging="360"/>
      </w:pPr>
      <w:rPr>
        <w:rFonts w:ascii="Wingdings" w:hAnsi="Wingdings" w:cs="Wingdings" w:hint="default"/>
      </w:rPr>
    </w:lvl>
    <w:lvl w:ilvl="6" w:tplc="0409000F">
      <w:start w:val="1"/>
      <w:numFmt w:val="bullet"/>
      <w:lvlText w:val=""/>
      <w:lvlJc w:val="left"/>
      <w:pPr>
        <w:tabs>
          <w:tab w:val="num" w:pos="4320"/>
        </w:tabs>
        <w:ind w:left="4320" w:hanging="360"/>
      </w:pPr>
      <w:rPr>
        <w:rFonts w:ascii="Symbol" w:hAnsi="Symbol" w:cs="Symbol" w:hint="default"/>
      </w:rPr>
    </w:lvl>
    <w:lvl w:ilvl="7" w:tplc="04090019">
      <w:start w:val="1"/>
      <w:numFmt w:val="bullet"/>
      <w:lvlText w:val="o"/>
      <w:lvlJc w:val="left"/>
      <w:pPr>
        <w:tabs>
          <w:tab w:val="num" w:pos="5040"/>
        </w:tabs>
        <w:ind w:left="5040" w:hanging="360"/>
      </w:pPr>
      <w:rPr>
        <w:rFonts w:ascii="Courier New" w:hAnsi="Courier New" w:cs="Courier New" w:hint="default"/>
      </w:rPr>
    </w:lvl>
    <w:lvl w:ilvl="8" w:tplc="0409001B">
      <w:start w:val="1"/>
      <w:numFmt w:val="bullet"/>
      <w:lvlText w:val=""/>
      <w:lvlJc w:val="left"/>
      <w:pPr>
        <w:tabs>
          <w:tab w:val="num" w:pos="5760"/>
        </w:tabs>
        <w:ind w:left="5760" w:hanging="360"/>
      </w:pPr>
      <w:rPr>
        <w:rFonts w:ascii="Wingdings" w:hAnsi="Wingdings" w:cs="Wingdings" w:hint="default"/>
      </w:rPr>
    </w:lvl>
  </w:abstractNum>
  <w:abstractNum w:abstractNumId="20">
    <w:nsid w:val="50F34D70"/>
    <w:multiLevelType w:val="hybridMultilevel"/>
    <w:tmpl w:val="FF8407E4"/>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D8E08D72">
      <w:numFmt w:val="bullet"/>
      <w:lvlText w:val="-"/>
      <w:lvlJc w:val="left"/>
      <w:pPr>
        <w:ind w:left="1800" w:hanging="360"/>
      </w:pPr>
      <w:rPr>
        <w:rFonts w:ascii="Calibri" w:eastAsia="Times New Roman" w:hAnsi="Calibri" w:hint="default"/>
        <w:sz w:val="16"/>
        <w:szCs w:val="16"/>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1">
    <w:nsid w:val="51365624"/>
    <w:multiLevelType w:val="hybridMultilevel"/>
    <w:tmpl w:val="C546AB5E"/>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2">
    <w:nsid w:val="536C28A6"/>
    <w:multiLevelType w:val="hybridMultilevel"/>
    <w:tmpl w:val="5BCAED9E"/>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3">
    <w:nsid w:val="56194910"/>
    <w:multiLevelType w:val="hybridMultilevel"/>
    <w:tmpl w:val="6346E9E6"/>
    <w:lvl w:ilvl="0" w:tplc="D8E08D72">
      <w:numFmt w:val="bullet"/>
      <w:lvlText w:val="-"/>
      <w:lvlJc w:val="left"/>
      <w:pPr>
        <w:ind w:left="360" w:hanging="360"/>
      </w:pPr>
      <w:rPr>
        <w:rFonts w:ascii="Calibri" w:eastAsia="Times New Roman" w:hAnsi="Calibri" w:hint="default"/>
        <w:sz w:val="16"/>
        <w:szCs w:val="16"/>
      </w:rPr>
    </w:lvl>
    <w:lvl w:ilvl="1" w:tplc="654477D6">
      <w:numFmt w:val="bullet"/>
      <w:lvlText w:val="-"/>
      <w:lvlJc w:val="left"/>
      <w:pPr>
        <w:ind w:left="1080" w:hanging="360"/>
      </w:pPr>
      <w:rPr>
        <w:rFonts w:ascii="Calibri" w:eastAsia="Times New Roman" w:hAnsi="Calibri"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4">
    <w:nsid w:val="57CF6D83"/>
    <w:multiLevelType w:val="hybridMultilevel"/>
    <w:tmpl w:val="F52887A8"/>
    <w:lvl w:ilvl="0" w:tplc="D8E08D72">
      <w:numFmt w:val="bullet"/>
      <w:lvlText w:val="-"/>
      <w:lvlJc w:val="left"/>
      <w:pPr>
        <w:ind w:left="720" w:hanging="360"/>
      </w:pPr>
      <w:rPr>
        <w:rFonts w:ascii="Calibri" w:eastAsia="Times New Roman" w:hAnsi="Calibri" w:hint="default"/>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5">
    <w:nsid w:val="583F202D"/>
    <w:multiLevelType w:val="hybridMultilevel"/>
    <w:tmpl w:val="0AB4FFE4"/>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6">
    <w:nsid w:val="593E73AB"/>
    <w:multiLevelType w:val="hybridMultilevel"/>
    <w:tmpl w:val="72E41F96"/>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7">
    <w:nsid w:val="59573004"/>
    <w:multiLevelType w:val="hybridMultilevel"/>
    <w:tmpl w:val="8BAE1EC6"/>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nsid w:val="5A401EEE"/>
    <w:multiLevelType w:val="multilevel"/>
    <w:tmpl w:val="ECCCD0B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A4F5B9C"/>
    <w:multiLevelType w:val="hybridMultilevel"/>
    <w:tmpl w:val="E316665E"/>
    <w:lvl w:ilvl="0" w:tplc="D8E08D72">
      <w:numFmt w:val="bullet"/>
      <w:lvlText w:val="-"/>
      <w:lvlJc w:val="left"/>
      <w:pPr>
        <w:ind w:left="-1836" w:hanging="360"/>
      </w:pPr>
      <w:rPr>
        <w:rFonts w:ascii="Calibri" w:eastAsia="Times New Roman" w:hAnsi="Calibri" w:hint="default"/>
        <w:sz w:val="16"/>
        <w:szCs w:val="16"/>
      </w:rPr>
    </w:lvl>
    <w:lvl w:ilvl="1" w:tplc="45DED012">
      <w:numFmt w:val="bullet"/>
      <w:lvlText w:val="-"/>
      <w:lvlJc w:val="left"/>
      <w:pPr>
        <w:ind w:left="-1116" w:hanging="360"/>
      </w:pPr>
      <w:rPr>
        <w:rFonts w:ascii="Calibri" w:eastAsia="Times New Roman" w:hAnsi="Calibri" w:hint="default"/>
      </w:rPr>
    </w:lvl>
    <w:lvl w:ilvl="2" w:tplc="040C0005">
      <w:start w:val="1"/>
      <w:numFmt w:val="bullet"/>
      <w:lvlText w:val=""/>
      <w:lvlJc w:val="left"/>
      <w:pPr>
        <w:ind w:left="-396" w:hanging="360"/>
      </w:pPr>
      <w:rPr>
        <w:rFonts w:ascii="Wingdings" w:hAnsi="Wingdings" w:cs="Wingdings" w:hint="default"/>
      </w:rPr>
    </w:lvl>
    <w:lvl w:ilvl="3" w:tplc="040C0001">
      <w:start w:val="1"/>
      <w:numFmt w:val="bullet"/>
      <w:lvlText w:val=""/>
      <w:lvlJc w:val="left"/>
      <w:pPr>
        <w:ind w:left="324" w:hanging="360"/>
      </w:pPr>
      <w:rPr>
        <w:rFonts w:ascii="Symbol" w:hAnsi="Symbol" w:cs="Symbol" w:hint="default"/>
      </w:rPr>
    </w:lvl>
    <w:lvl w:ilvl="4" w:tplc="040C0003">
      <w:start w:val="1"/>
      <w:numFmt w:val="bullet"/>
      <w:lvlText w:val="o"/>
      <w:lvlJc w:val="left"/>
      <w:pPr>
        <w:ind w:left="1044" w:hanging="360"/>
      </w:pPr>
      <w:rPr>
        <w:rFonts w:ascii="Courier New" w:hAnsi="Courier New" w:cs="Courier New" w:hint="default"/>
      </w:rPr>
    </w:lvl>
    <w:lvl w:ilvl="5" w:tplc="040C0005">
      <w:start w:val="1"/>
      <w:numFmt w:val="bullet"/>
      <w:lvlText w:val=""/>
      <w:lvlJc w:val="left"/>
      <w:pPr>
        <w:ind w:left="1764" w:hanging="360"/>
      </w:pPr>
      <w:rPr>
        <w:rFonts w:ascii="Wingdings" w:hAnsi="Wingdings" w:cs="Wingdings" w:hint="default"/>
      </w:rPr>
    </w:lvl>
    <w:lvl w:ilvl="6" w:tplc="040C0001">
      <w:start w:val="1"/>
      <w:numFmt w:val="bullet"/>
      <w:lvlText w:val=""/>
      <w:lvlJc w:val="left"/>
      <w:pPr>
        <w:ind w:left="2484" w:hanging="360"/>
      </w:pPr>
      <w:rPr>
        <w:rFonts w:ascii="Symbol" w:hAnsi="Symbol" w:cs="Symbol" w:hint="default"/>
      </w:rPr>
    </w:lvl>
    <w:lvl w:ilvl="7" w:tplc="040C0003">
      <w:start w:val="1"/>
      <w:numFmt w:val="bullet"/>
      <w:lvlText w:val="o"/>
      <w:lvlJc w:val="left"/>
      <w:pPr>
        <w:ind w:left="3204" w:hanging="360"/>
      </w:pPr>
      <w:rPr>
        <w:rFonts w:ascii="Courier New" w:hAnsi="Courier New" w:cs="Courier New" w:hint="default"/>
      </w:rPr>
    </w:lvl>
    <w:lvl w:ilvl="8" w:tplc="040C0005">
      <w:start w:val="1"/>
      <w:numFmt w:val="bullet"/>
      <w:lvlText w:val=""/>
      <w:lvlJc w:val="left"/>
      <w:pPr>
        <w:ind w:left="3924" w:hanging="360"/>
      </w:pPr>
      <w:rPr>
        <w:rFonts w:ascii="Wingdings" w:hAnsi="Wingdings" w:cs="Wingdings" w:hint="default"/>
      </w:rPr>
    </w:lvl>
  </w:abstractNum>
  <w:abstractNum w:abstractNumId="30">
    <w:nsid w:val="5BA104F3"/>
    <w:multiLevelType w:val="hybridMultilevel"/>
    <w:tmpl w:val="63BA5E3E"/>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E3EED394">
      <w:numFmt w:val="bullet"/>
      <w:lvlText w:val="•"/>
      <w:lvlJc w:val="left"/>
      <w:pPr>
        <w:ind w:left="2145" w:hanging="705"/>
      </w:pPr>
      <w:rPr>
        <w:rFonts w:ascii="Calibri" w:eastAsia="Times New Roman" w:hAnsi="Calibri"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31">
    <w:nsid w:val="61BB1C3B"/>
    <w:multiLevelType w:val="hybridMultilevel"/>
    <w:tmpl w:val="92D6C0C2"/>
    <w:lvl w:ilvl="0" w:tplc="D8E08D72">
      <w:numFmt w:val="bullet"/>
      <w:lvlText w:val="-"/>
      <w:lvlJc w:val="left"/>
      <w:pPr>
        <w:ind w:left="360" w:hanging="360"/>
      </w:pPr>
      <w:rPr>
        <w:rFonts w:ascii="Calibri" w:eastAsia="Times New Roman" w:hAnsi="Calibri" w:hint="default"/>
        <w:sz w:val="16"/>
        <w:szCs w:val="16"/>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32">
    <w:nsid w:val="62E11CAB"/>
    <w:multiLevelType w:val="hybridMultilevel"/>
    <w:tmpl w:val="225A5F24"/>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33">
    <w:nsid w:val="66144F29"/>
    <w:multiLevelType w:val="hybridMultilevel"/>
    <w:tmpl w:val="49E2C49E"/>
    <w:lvl w:ilvl="0" w:tplc="D8E08D72">
      <w:numFmt w:val="bullet"/>
      <w:lvlText w:val="-"/>
      <w:lvlJc w:val="left"/>
      <w:pPr>
        <w:tabs>
          <w:tab w:val="num" w:pos="360"/>
        </w:tabs>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34">
    <w:nsid w:val="683A4B40"/>
    <w:multiLevelType w:val="hybridMultilevel"/>
    <w:tmpl w:val="7716F4B8"/>
    <w:lvl w:ilvl="0" w:tplc="08090001">
      <w:start w:val="1"/>
      <w:numFmt w:val="bullet"/>
      <w:lvlText w:val=""/>
      <w:lvlJc w:val="left"/>
      <w:pPr>
        <w:tabs>
          <w:tab w:val="num" w:pos="720"/>
        </w:tabs>
        <w:ind w:left="720" w:hanging="360"/>
      </w:pPr>
      <w:rPr>
        <w:rFonts w:ascii="Symbol" w:hAnsi="Symbol" w:cs="Symbol" w:hint="default"/>
      </w:rPr>
    </w:lvl>
    <w:lvl w:ilvl="1" w:tplc="08090003">
      <w:start w:val="455"/>
      <w:numFmt w:val="bullet"/>
      <w:lvlText w:val=""/>
      <w:lvlJc w:val="left"/>
      <w:pPr>
        <w:tabs>
          <w:tab w:val="num" w:pos="1440"/>
        </w:tabs>
        <w:ind w:left="1440" w:hanging="360"/>
      </w:pPr>
      <w:rPr>
        <w:rFonts w:ascii="Symbol" w:eastAsia="Times New Roman" w:hAnsi="Symbol" w:hint="default"/>
        <w:color w:val="auto"/>
      </w:rPr>
    </w:lvl>
    <w:lvl w:ilvl="2" w:tplc="08090005">
      <w:numFmt w:val="bullet"/>
      <w:lvlText w:val="-"/>
      <w:lvlJc w:val="left"/>
      <w:pPr>
        <w:tabs>
          <w:tab w:val="num" w:pos="2160"/>
        </w:tabs>
        <w:ind w:left="2160" w:hanging="360"/>
      </w:pPr>
      <w:rPr>
        <w:rFonts w:ascii="Times New Roman" w:eastAsia="Times New Roman" w:hAnsi="Times New Roman"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nsid w:val="6E452B51"/>
    <w:multiLevelType w:val="hybridMultilevel"/>
    <w:tmpl w:val="10D2B898"/>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36">
    <w:nsid w:val="70ED1746"/>
    <w:multiLevelType w:val="hybridMultilevel"/>
    <w:tmpl w:val="33FA888A"/>
    <w:lvl w:ilvl="0" w:tplc="D8E08D72">
      <w:numFmt w:val="bullet"/>
      <w:lvlText w:val="-"/>
      <w:lvlJc w:val="left"/>
      <w:pPr>
        <w:tabs>
          <w:tab w:val="num" w:pos="360"/>
        </w:tabs>
        <w:ind w:left="360" w:hanging="360"/>
      </w:pPr>
      <w:rPr>
        <w:rFonts w:ascii="Calibri" w:eastAsia="Times New Roman" w:hAnsi="Calibri" w:hint="default"/>
        <w:sz w:val="16"/>
        <w:szCs w:val="16"/>
      </w:rPr>
    </w:lvl>
    <w:lvl w:ilvl="1" w:tplc="040C0001">
      <w:start w:val="1"/>
      <w:numFmt w:val="bullet"/>
      <w:lvlText w:val=""/>
      <w:lvlJc w:val="left"/>
      <w:pPr>
        <w:tabs>
          <w:tab w:val="num" w:pos="1080"/>
        </w:tabs>
        <w:ind w:left="1080" w:hanging="360"/>
      </w:pPr>
      <w:rPr>
        <w:rFonts w:ascii="Symbol" w:hAnsi="Symbol" w:cs="Symbol" w:hint="default"/>
      </w:rPr>
    </w:lvl>
    <w:lvl w:ilvl="2" w:tplc="063C68A8">
      <w:numFmt w:val="bullet"/>
      <w:lvlText w:val="-"/>
      <w:lvlJc w:val="left"/>
      <w:pPr>
        <w:tabs>
          <w:tab w:val="num" w:pos="1800"/>
        </w:tabs>
        <w:ind w:left="1800" w:hanging="360"/>
      </w:pPr>
      <w:rPr>
        <w:rFonts w:ascii="Times New Roman" w:eastAsia="Times New Roman" w:hAnsi="Times New Roman"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abstractNum w:abstractNumId="37">
    <w:nsid w:val="735A2315"/>
    <w:multiLevelType w:val="hybridMultilevel"/>
    <w:tmpl w:val="185E214A"/>
    <w:lvl w:ilvl="0" w:tplc="D8E08D72">
      <w:numFmt w:val="bullet"/>
      <w:lvlText w:val="-"/>
      <w:lvlJc w:val="left"/>
      <w:pPr>
        <w:ind w:left="720" w:hanging="360"/>
      </w:pPr>
      <w:rPr>
        <w:rFonts w:ascii="Calibri" w:eastAsia="Times New Roman" w:hAnsi="Calibri" w:hint="default"/>
        <w:sz w:val="16"/>
        <w:szCs w:val="16"/>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38">
    <w:nsid w:val="746D4EF2"/>
    <w:multiLevelType w:val="hybridMultilevel"/>
    <w:tmpl w:val="D2E2DABA"/>
    <w:lvl w:ilvl="0" w:tplc="D8E08D72">
      <w:numFmt w:val="bullet"/>
      <w:lvlText w:val="-"/>
      <w:lvlJc w:val="left"/>
      <w:pPr>
        <w:ind w:left="360" w:hanging="360"/>
      </w:pPr>
      <w:rPr>
        <w:rFonts w:ascii="Calibri" w:eastAsia="Times New Roman" w:hAnsi="Calibri" w:hint="default"/>
        <w:sz w:val="16"/>
        <w:szCs w:val="1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39">
    <w:nsid w:val="78F06622"/>
    <w:multiLevelType w:val="multilevel"/>
    <w:tmpl w:val="EE2CB80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9"/>
  </w:num>
  <w:num w:numId="2">
    <w:abstractNumId w:val="17"/>
  </w:num>
  <w:num w:numId="3">
    <w:abstractNumId w:val="3"/>
  </w:num>
  <w:num w:numId="4">
    <w:abstractNumId w:val="11"/>
  </w:num>
  <w:num w:numId="5">
    <w:abstractNumId w:val="28"/>
  </w:num>
  <w:num w:numId="6">
    <w:abstractNumId w:val="5"/>
  </w:num>
  <w:num w:numId="7">
    <w:abstractNumId w:val="39"/>
  </w:num>
  <w:num w:numId="8">
    <w:abstractNumId w:val="10"/>
  </w:num>
  <w:num w:numId="9">
    <w:abstractNumId w:val="0"/>
  </w:num>
  <w:num w:numId="10">
    <w:abstractNumId w:val="6"/>
  </w:num>
  <w:num w:numId="11">
    <w:abstractNumId w:val="9"/>
  </w:num>
  <w:num w:numId="12">
    <w:abstractNumId w:val="8"/>
  </w:num>
  <w:num w:numId="13">
    <w:abstractNumId w:val="36"/>
  </w:num>
  <w:num w:numId="14">
    <w:abstractNumId w:val="30"/>
  </w:num>
  <w:num w:numId="15">
    <w:abstractNumId w:val="21"/>
  </w:num>
  <w:num w:numId="16">
    <w:abstractNumId w:val="38"/>
  </w:num>
  <w:num w:numId="17">
    <w:abstractNumId w:val="26"/>
  </w:num>
  <w:num w:numId="18">
    <w:abstractNumId w:val="20"/>
  </w:num>
  <w:num w:numId="19">
    <w:abstractNumId w:val="35"/>
  </w:num>
  <w:num w:numId="20">
    <w:abstractNumId w:val="37"/>
  </w:num>
  <w:num w:numId="21">
    <w:abstractNumId w:val="13"/>
  </w:num>
  <w:num w:numId="22">
    <w:abstractNumId w:val="31"/>
  </w:num>
  <w:num w:numId="23">
    <w:abstractNumId w:val="7"/>
  </w:num>
  <w:num w:numId="24">
    <w:abstractNumId w:val="25"/>
  </w:num>
  <w:num w:numId="25">
    <w:abstractNumId w:val="1"/>
  </w:num>
  <w:num w:numId="26">
    <w:abstractNumId w:val="32"/>
  </w:num>
  <w:num w:numId="27">
    <w:abstractNumId w:val="27"/>
  </w:num>
  <w:num w:numId="28">
    <w:abstractNumId w:val="14"/>
  </w:num>
  <w:num w:numId="29">
    <w:abstractNumId w:val="4"/>
  </w:num>
  <w:num w:numId="30">
    <w:abstractNumId w:val="12"/>
  </w:num>
  <w:num w:numId="31">
    <w:abstractNumId w:val="33"/>
  </w:num>
  <w:num w:numId="32">
    <w:abstractNumId w:val="15"/>
  </w:num>
  <w:num w:numId="33">
    <w:abstractNumId w:val="24"/>
  </w:num>
  <w:num w:numId="34">
    <w:abstractNumId w:val="2"/>
  </w:num>
  <w:num w:numId="35">
    <w:abstractNumId w:val="23"/>
  </w:num>
  <w:num w:numId="36">
    <w:abstractNumId w:val="22"/>
  </w:num>
  <w:num w:numId="37">
    <w:abstractNumId w:val="19"/>
  </w:num>
  <w:num w:numId="38">
    <w:abstractNumId w:val="1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01363D"/>
    <w:rsid w:val="000011CB"/>
    <w:rsid w:val="00007E1B"/>
    <w:rsid w:val="00012C75"/>
    <w:rsid w:val="00012E15"/>
    <w:rsid w:val="0001363D"/>
    <w:rsid w:val="00031E98"/>
    <w:rsid w:val="00034A13"/>
    <w:rsid w:val="000409CE"/>
    <w:rsid w:val="000443D3"/>
    <w:rsid w:val="000446DE"/>
    <w:rsid w:val="00047FE0"/>
    <w:rsid w:val="000521BC"/>
    <w:rsid w:val="00060A73"/>
    <w:rsid w:val="00061FD8"/>
    <w:rsid w:val="00065595"/>
    <w:rsid w:val="000655F9"/>
    <w:rsid w:val="00066CFE"/>
    <w:rsid w:val="00067687"/>
    <w:rsid w:val="00067918"/>
    <w:rsid w:val="00067FBC"/>
    <w:rsid w:val="0008048A"/>
    <w:rsid w:val="0008056A"/>
    <w:rsid w:val="0008110D"/>
    <w:rsid w:val="0008663B"/>
    <w:rsid w:val="00097559"/>
    <w:rsid w:val="000A1068"/>
    <w:rsid w:val="000A2584"/>
    <w:rsid w:val="000A28A7"/>
    <w:rsid w:val="000A2F4A"/>
    <w:rsid w:val="000A3AC7"/>
    <w:rsid w:val="000B4AA3"/>
    <w:rsid w:val="000B6CDA"/>
    <w:rsid w:val="000B6E33"/>
    <w:rsid w:val="000B70C7"/>
    <w:rsid w:val="000C08F0"/>
    <w:rsid w:val="000C6A5A"/>
    <w:rsid w:val="000D54C6"/>
    <w:rsid w:val="000D66F6"/>
    <w:rsid w:val="000D7E98"/>
    <w:rsid w:val="000E0CD2"/>
    <w:rsid w:val="000E1A16"/>
    <w:rsid w:val="000E47D7"/>
    <w:rsid w:val="000F20DC"/>
    <w:rsid w:val="000F3EA7"/>
    <w:rsid w:val="000F450F"/>
    <w:rsid w:val="0010095D"/>
    <w:rsid w:val="00100C80"/>
    <w:rsid w:val="00102E03"/>
    <w:rsid w:val="001051A3"/>
    <w:rsid w:val="001072AB"/>
    <w:rsid w:val="0011103A"/>
    <w:rsid w:val="001116F7"/>
    <w:rsid w:val="00111ECC"/>
    <w:rsid w:val="00112CAD"/>
    <w:rsid w:val="00123A36"/>
    <w:rsid w:val="00124E64"/>
    <w:rsid w:val="001255A8"/>
    <w:rsid w:val="00126BE6"/>
    <w:rsid w:val="00131C15"/>
    <w:rsid w:val="001371B1"/>
    <w:rsid w:val="00140B0D"/>
    <w:rsid w:val="00141EBE"/>
    <w:rsid w:val="00143D12"/>
    <w:rsid w:val="001502CB"/>
    <w:rsid w:val="00151C93"/>
    <w:rsid w:val="00151D59"/>
    <w:rsid w:val="00155AEB"/>
    <w:rsid w:val="001603D5"/>
    <w:rsid w:val="00162A44"/>
    <w:rsid w:val="001644B6"/>
    <w:rsid w:val="00166167"/>
    <w:rsid w:val="00166E36"/>
    <w:rsid w:val="00171B57"/>
    <w:rsid w:val="0017380D"/>
    <w:rsid w:val="00176604"/>
    <w:rsid w:val="00184B0C"/>
    <w:rsid w:val="001851F6"/>
    <w:rsid w:val="00186929"/>
    <w:rsid w:val="00193A54"/>
    <w:rsid w:val="00194758"/>
    <w:rsid w:val="00195543"/>
    <w:rsid w:val="0019693B"/>
    <w:rsid w:val="001A1817"/>
    <w:rsid w:val="001A2A66"/>
    <w:rsid w:val="001A2B4F"/>
    <w:rsid w:val="001A2DDB"/>
    <w:rsid w:val="001A3C3A"/>
    <w:rsid w:val="001A46CC"/>
    <w:rsid w:val="001A6521"/>
    <w:rsid w:val="001B0850"/>
    <w:rsid w:val="001B791E"/>
    <w:rsid w:val="001C09EC"/>
    <w:rsid w:val="001C1C78"/>
    <w:rsid w:val="001C34FD"/>
    <w:rsid w:val="001C3753"/>
    <w:rsid w:val="001C680B"/>
    <w:rsid w:val="001C6975"/>
    <w:rsid w:val="001D07EC"/>
    <w:rsid w:val="001D3259"/>
    <w:rsid w:val="001D508A"/>
    <w:rsid w:val="001E0F9A"/>
    <w:rsid w:val="001F2983"/>
    <w:rsid w:val="001F2BF8"/>
    <w:rsid w:val="001F56D6"/>
    <w:rsid w:val="00200BE5"/>
    <w:rsid w:val="002015EF"/>
    <w:rsid w:val="00202AA8"/>
    <w:rsid w:val="00204F89"/>
    <w:rsid w:val="00210A2D"/>
    <w:rsid w:val="00213AC9"/>
    <w:rsid w:val="002157A5"/>
    <w:rsid w:val="0021626E"/>
    <w:rsid w:val="00217023"/>
    <w:rsid w:val="00221070"/>
    <w:rsid w:val="002213D5"/>
    <w:rsid w:val="00223A7B"/>
    <w:rsid w:val="00223CFF"/>
    <w:rsid w:val="00235636"/>
    <w:rsid w:val="00236BCE"/>
    <w:rsid w:val="00240848"/>
    <w:rsid w:val="0024276D"/>
    <w:rsid w:val="00242D6B"/>
    <w:rsid w:val="002457FC"/>
    <w:rsid w:val="00250A6A"/>
    <w:rsid w:val="00260543"/>
    <w:rsid w:val="002626DA"/>
    <w:rsid w:val="00263253"/>
    <w:rsid w:val="00264892"/>
    <w:rsid w:val="002667E7"/>
    <w:rsid w:val="002702E4"/>
    <w:rsid w:val="00270858"/>
    <w:rsid w:val="0027161C"/>
    <w:rsid w:val="002757FB"/>
    <w:rsid w:val="0027663A"/>
    <w:rsid w:val="00277F2C"/>
    <w:rsid w:val="00281818"/>
    <w:rsid w:val="00281AA8"/>
    <w:rsid w:val="00283A1E"/>
    <w:rsid w:val="00287C8F"/>
    <w:rsid w:val="00292A46"/>
    <w:rsid w:val="002A1D62"/>
    <w:rsid w:val="002A33EC"/>
    <w:rsid w:val="002A3829"/>
    <w:rsid w:val="002A4E74"/>
    <w:rsid w:val="002A606A"/>
    <w:rsid w:val="002A6C40"/>
    <w:rsid w:val="002B56E3"/>
    <w:rsid w:val="002B7B5A"/>
    <w:rsid w:val="002C0473"/>
    <w:rsid w:val="002C2BDA"/>
    <w:rsid w:val="002D15DA"/>
    <w:rsid w:val="002D22DA"/>
    <w:rsid w:val="002D6570"/>
    <w:rsid w:val="002E721E"/>
    <w:rsid w:val="002F568C"/>
    <w:rsid w:val="002F5E56"/>
    <w:rsid w:val="002F6065"/>
    <w:rsid w:val="002F673D"/>
    <w:rsid w:val="00305894"/>
    <w:rsid w:val="003077B9"/>
    <w:rsid w:val="00314610"/>
    <w:rsid w:val="00315493"/>
    <w:rsid w:val="0031735C"/>
    <w:rsid w:val="003210AE"/>
    <w:rsid w:val="00322545"/>
    <w:rsid w:val="00323191"/>
    <w:rsid w:val="00325D5B"/>
    <w:rsid w:val="00326817"/>
    <w:rsid w:val="00326B3B"/>
    <w:rsid w:val="0033636C"/>
    <w:rsid w:val="00336393"/>
    <w:rsid w:val="0034131B"/>
    <w:rsid w:val="00350E08"/>
    <w:rsid w:val="00351DFE"/>
    <w:rsid w:val="0035441F"/>
    <w:rsid w:val="003626F7"/>
    <w:rsid w:val="003647B9"/>
    <w:rsid w:val="00367DD8"/>
    <w:rsid w:val="00367E7C"/>
    <w:rsid w:val="00374D43"/>
    <w:rsid w:val="003760F8"/>
    <w:rsid w:val="00376306"/>
    <w:rsid w:val="00380F89"/>
    <w:rsid w:val="00382F20"/>
    <w:rsid w:val="003851FD"/>
    <w:rsid w:val="00387B0A"/>
    <w:rsid w:val="00387D5D"/>
    <w:rsid w:val="00393B11"/>
    <w:rsid w:val="003941E2"/>
    <w:rsid w:val="00394CEB"/>
    <w:rsid w:val="003A5FEF"/>
    <w:rsid w:val="003B7DC7"/>
    <w:rsid w:val="003C093F"/>
    <w:rsid w:val="003D11FD"/>
    <w:rsid w:val="003D2E3B"/>
    <w:rsid w:val="003D4266"/>
    <w:rsid w:val="003D7E4C"/>
    <w:rsid w:val="003E0D2D"/>
    <w:rsid w:val="003E246E"/>
    <w:rsid w:val="003E46D1"/>
    <w:rsid w:val="003F017A"/>
    <w:rsid w:val="003F223E"/>
    <w:rsid w:val="004143D5"/>
    <w:rsid w:val="004156BF"/>
    <w:rsid w:val="00421B72"/>
    <w:rsid w:val="004228EF"/>
    <w:rsid w:val="00426AEC"/>
    <w:rsid w:val="00433078"/>
    <w:rsid w:val="0043608E"/>
    <w:rsid w:val="004377FB"/>
    <w:rsid w:val="00446C79"/>
    <w:rsid w:val="00447708"/>
    <w:rsid w:val="004506DF"/>
    <w:rsid w:val="004511A1"/>
    <w:rsid w:val="004527CA"/>
    <w:rsid w:val="00455749"/>
    <w:rsid w:val="004557DD"/>
    <w:rsid w:val="00460A28"/>
    <w:rsid w:val="00462D68"/>
    <w:rsid w:val="00463587"/>
    <w:rsid w:val="00463F32"/>
    <w:rsid w:val="0046665B"/>
    <w:rsid w:val="00467689"/>
    <w:rsid w:val="00472E73"/>
    <w:rsid w:val="00474D7C"/>
    <w:rsid w:val="00482644"/>
    <w:rsid w:val="00483478"/>
    <w:rsid w:val="00483646"/>
    <w:rsid w:val="00485D8A"/>
    <w:rsid w:val="00490A27"/>
    <w:rsid w:val="00490C1B"/>
    <w:rsid w:val="00493752"/>
    <w:rsid w:val="0049380B"/>
    <w:rsid w:val="0049394E"/>
    <w:rsid w:val="004962AC"/>
    <w:rsid w:val="004965D5"/>
    <w:rsid w:val="004A056F"/>
    <w:rsid w:val="004A1503"/>
    <w:rsid w:val="004A2914"/>
    <w:rsid w:val="004A2F61"/>
    <w:rsid w:val="004A7937"/>
    <w:rsid w:val="004B31D5"/>
    <w:rsid w:val="004B330F"/>
    <w:rsid w:val="004B449B"/>
    <w:rsid w:val="004B469A"/>
    <w:rsid w:val="004B4C5B"/>
    <w:rsid w:val="004C5CD9"/>
    <w:rsid w:val="004C64D1"/>
    <w:rsid w:val="004C75C8"/>
    <w:rsid w:val="004D35B0"/>
    <w:rsid w:val="004D3A89"/>
    <w:rsid w:val="004D3D82"/>
    <w:rsid w:val="004D5C87"/>
    <w:rsid w:val="004D6F0F"/>
    <w:rsid w:val="004E0DF6"/>
    <w:rsid w:val="004E1EEE"/>
    <w:rsid w:val="004E5A81"/>
    <w:rsid w:val="004E628A"/>
    <w:rsid w:val="004E671B"/>
    <w:rsid w:val="004F0C41"/>
    <w:rsid w:val="004F34BA"/>
    <w:rsid w:val="004F4431"/>
    <w:rsid w:val="004F5083"/>
    <w:rsid w:val="004F697F"/>
    <w:rsid w:val="00512330"/>
    <w:rsid w:val="0051740E"/>
    <w:rsid w:val="00517C1D"/>
    <w:rsid w:val="0052187C"/>
    <w:rsid w:val="00523A44"/>
    <w:rsid w:val="005247D3"/>
    <w:rsid w:val="0052528E"/>
    <w:rsid w:val="00526B64"/>
    <w:rsid w:val="005302E4"/>
    <w:rsid w:val="00531A4A"/>
    <w:rsid w:val="005403AB"/>
    <w:rsid w:val="00540DB9"/>
    <w:rsid w:val="00545D21"/>
    <w:rsid w:val="005514C6"/>
    <w:rsid w:val="00552483"/>
    <w:rsid w:val="00553E26"/>
    <w:rsid w:val="005559D4"/>
    <w:rsid w:val="00555D1F"/>
    <w:rsid w:val="00556CD6"/>
    <w:rsid w:val="005572AA"/>
    <w:rsid w:val="0056032B"/>
    <w:rsid w:val="00560835"/>
    <w:rsid w:val="00563D11"/>
    <w:rsid w:val="00574039"/>
    <w:rsid w:val="00575833"/>
    <w:rsid w:val="00581F7A"/>
    <w:rsid w:val="00585611"/>
    <w:rsid w:val="00590472"/>
    <w:rsid w:val="00590ED0"/>
    <w:rsid w:val="005911F3"/>
    <w:rsid w:val="005957F2"/>
    <w:rsid w:val="005A0A18"/>
    <w:rsid w:val="005A1D3F"/>
    <w:rsid w:val="005A316C"/>
    <w:rsid w:val="005A3409"/>
    <w:rsid w:val="005A557A"/>
    <w:rsid w:val="005A5FD1"/>
    <w:rsid w:val="005A612C"/>
    <w:rsid w:val="005B68D5"/>
    <w:rsid w:val="005B787C"/>
    <w:rsid w:val="005C4731"/>
    <w:rsid w:val="005D18B4"/>
    <w:rsid w:val="005D1C85"/>
    <w:rsid w:val="005D2293"/>
    <w:rsid w:val="005D3160"/>
    <w:rsid w:val="005D4800"/>
    <w:rsid w:val="005D555A"/>
    <w:rsid w:val="005D6230"/>
    <w:rsid w:val="005D7896"/>
    <w:rsid w:val="005E4C8F"/>
    <w:rsid w:val="005F0A04"/>
    <w:rsid w:val="005F7703"/>
    <w:rsid w:val="005F7D1E"/>
    <w:rsid w:val="00602B42"/>
    <w:rsid w:val="00605902"/>
    <w:rsid w:val="006060FC"/>
    <w:rsid w:val="00615E77"/>
    <w:rsid w:val="0062033F"/>
    <w:rsid w:val="0062362C"/>
    <w:rsid w:val="00626856"/>
    <w:rsid w:val="00632173"/>
    <w:rsid w:val="00634339"/>
    <w:rsid w:val="006413D0"/>
    <w:rsid w:val="0064198E"/>
    <w:rsid w:val="00652060"/>
    <w:rsid w:val="00655E10"/>
    <w:rsid w:val="006564A3"/>
    <w:rsid w:val="00660225"/>
    <w:rsid w:val="00665AD4"/>
    <w:rsid w:val="00667379"/>
    <w:rsid w:val="006726CB"/>
    <w:rsid w:val="0067318A"/>
    <w:rsid w:val="00674276"/>
    <w:rsid w:val="0068057F"/>
    <w:rsid w:val="00681DFA"/>
    <w:rsid w:val="00684386"/>
    <w:rsid w:val="006900C2"/>
    <w:rsid w:val="00693063"/>
    <w:rsid w:val="0069596D"/>
    <w:rsid w:val="006960EB"/>
    <w:rsid w:val="006964D8"/>
    <w:rsid w:val="00696803"/>
    <w:rsid w:val="00696C33"/>
    <w:rsid w:val="006973A3"/>
    <w:rsid w:val="006A033C"/>
    <w:rsid w:val="006A7A89"/>
    <w:rsid w:val="006B1C37"/>
    <w:rsid w:val="006B2240"/>
    <w:rsid w:val="006B3115"/>
    <w:rsid w:val="006B6EEB"/>
    <w:rsid w:val="006C4831"/>
    <w:rsid w:val="006D2DCD"/>
    <w:rsid w:val="006D3C0F"/>
    <w:rsid w:val="006E29CE"/>
    <w:rsid w:val="006E56EA"/>
    <w:rsid w:val="006E6A40"/>
    <w:rsid w:val="006F03BE"/>
    <w:rsid w:val="006F0B37"/>
    <w:rsid w:val="007022EB"/>
    <w:rsid w:val="00703731"/>
    <w:rsid w:val="00703B7F"/>
    <w:rsid w:val="007046B7"/>
    <w:rsid w:val="00706FCA"/>
    <w:rsid w:val="00711159"/>
    <w:rsid w:val="007236B4"/>
    <w:rsid w:val="00730496"/>
    <w:rsid w:val="0073080E"/>
    <w:rsid w:val="00732777"/>
    <w:rsid w:val="00740185"/>
    <w:rsid w:val="00742F9A"/>
    <w:rsid w:val="00745F56"/>
    <w:rsid w:val="0074787D"/>
    <w:rsid w:val="00753A03"/>
    <w:rsid w:val="007560AF"/>
    <w:rsid w:val="007560CA"/>
    <w:rsid w:val="00756A87"/>
    <w:rsid w:val="00760645"/>
    <w:rsid w:val="00763941"/>
    <w:rsid w:val="00764EF3"/>
    <w:rsid w:val="00771394"/>
    <w:rsid w:val="00771DA2"/>
    <w:rsid w:val="0077260F"/>
    <w:rsid w:val="007732CE"/>
    <w:rsid w:val="00781216"/>
    <w:rsid w:val="00781DC2"/>
    <w:rsid w:val="00783690"/>
    <w:rsid w:val="007842C8"/>
    <w:rsid w:val="007847D2"/>
    <w:rsid w:val="00785C6B"/>
    <w:rsid w:val="00790A8D"/>
    <w:rsid w:val="007A2688"/>
    <w:rsid w:val="007A54AE"/>
    <w:rsid w:val="007B08C0"/>
    <w:rsid w:val="007B0921"/>
    <w:rsid w:val="007B329A"/>
    <w:rsid w:val="007B340C"/>
    <w:rsid w:val="007B3FF6"/>
    <w:rsid w:val="007B6AC5"/>
    <w:rsid w:val="007C0F00"/>
    <w:rsid w:val="007C6063"/>
    <w:rsid w:val="007C7B8C"/>
    <w:rsid w:val="007E3E4F"/>
    <w:rsid w:val="007E54A8"/>
    <w:rsid w:val="007E6674"/>
    <w:rsid w:val="007F01C9"/>
    <w:rsid w:val="007F4FC7"/>
    <w:rsid w:val="00801453"/>
    <w:rsid w:val="0080195B"/>
    <w:rsid w:val="00801FF8"/>
    <w:rsid w:val="00804191"/>
    <w:rsid w:val="0080790F"/>
    <w:rsid w:val="008145B4"/>
    <w:rsid w:val="00814758"/>
    <w:rsid w:val="0082141D"/>
    <w:rsid w:val="00824238"/>
    <w:rsid w:val="00844931"/>
    <w:rsid w:val="00846C61"/>
    <w:rsid w:val="00852DAF"/>
    <w:rsid w:val="00853E51"/>
    <w:rsid w:val="00854601"/>
    <w:rsid w:val="008576C7"/>
    <w:rsid w:val="00861DDF"/>
    <w:rsid w:val="00862C86"/>
    <w:rsid w:val="00862E52"/>
    <w:rsid w:val="0086335F"/>
    <w:rsid w:val="008636DA"/>
    <w:rsid w:val="00871269"/>
    <w:rsid w:val="00874AB0"/>
    <w:rsid w:val="00874BD9"/>
    <w:rsid w:val="0088032C"/>
    <w:rsid w:val="008809AE"/>
    <w:rsid w:val="008851AC"/>
    <w:rsid w:val="00887C33"/>
    <w:rsid w:val="00890B6F"/>
    <w:rsid w:val="00895D82"/>
    <w:rsid w:val="00897FD0"/>
    <w:rsid w:val="008A7774"/>
    <w:rsid w:val="008A7DF6"/>
    <w:rsid w:val="008B1F39"/>
    <w:rsid w:val="008B2A7D"/>
    <w:rsid w:val="008B4BEB"/>
    <w:rsid w:val="008B5DB3"/>
    <w:rsid w:val="008C0411"/>
    <w:rsid w:val="008C7F8B"/>
    <w:rsid w:val="008D0F42"/>
    <w:rsid w:val="008D38D0"/>
    <w:rsid w:val="008D7166"/>
    <w:rsid w:val="008E042F"/>
    <w:rsid w:val="008E44D0"/>
    <w:rsid w:val="008E4DF2"/>
    <w:rsid w:val="008E71F0"/>
    <w:rsid w:val="008F0014"/>
    <w:rsid w:val="008F0272"/>
    <w:rsid w:val="008F75BC"/>
    <w:rsid w:val="00901CE0"/>
    <w:rsid w:val="00907C18"/>
    <w:rsid w:val="00910BF3"/>
    <w:rsid w:val="009115B4"/>
    <w:rsid w:val="00912103"/>
    <w:rsid w:val="00912E62"/>
    <w:rsid w:val="00913533"/>
    <w:rsid w:val="00915EE5"/>
    <w:rsid w:val="0092195F"/>
    <w:rsid w:val="009232C6"/>
    <w:rsid w:val="00924E6A"/>
    <w:rsid w:val="009300AF"/>
    <w:rsid w:val="009300D3"/>
    <w:rsid w:val="00930354"/>
    <w:rsid w:val="00934039"/>
    <w:rsid w:val="00945F4D"/>
    <w:rsid w:val="0096165B"/>
    <w:rsid w:val="0096437F"/>
    <w:rsid w:val="009655EB"/>
    <w:rsid w:val="00970B9F"/>
    <w:rsid w:val="009762CB"/>
    <w:rsid w:val="009910B4"/>
    <w:rsid w:val="009948D7"/>
    <w:rsid w:val="009A646E"/>
    <w:rsid w:val="009A7E66"/>
    <w:rsid w:val="009B0847"/>
    <w:rsid w:val="009B18A5"/>
    <w:rsid w:val="009B3FD2"/>
    <w:rsid w:val="009B4BAA"/>
    <w:rsid w:val="009B7812"/>
    <w:rsid w:val="009C272C"/>
    <w:rsid w:val="009C55C2"/>
    <w:rsid w:val="009C5F54"/>
    <w:rsid w:val="009C650A"/>
    <w:rsid w:val="009C6512"/>
    <w:rsid w:val="009D0615"/>
    <w:rsid w:val="009D0C88"/>
    <w:rsid w:val="009D1281"/>
    <w:rsid w:val="009D4198"/>
    <w:rsid w:val="009E5A21"/>
    <w:rsid w:val="009E6078"/>
    <w:rsid w:val="009E736E"/>
    <w:rsid w:val="009F738C"/>
    <w:rsid w:val="00A00AEE"/>
    <w:rsid w:val="00A01055"/>
    <w:rsid w:val="00A013F5"/>
    <w:rsid w:val="00A0300F"/>
    <w:rsid w:val="00A0757B"/>
    <w:rsid w:val="00A15C8B"/>
    <w:rsid w:val="00A179A0"/>
    <w:rsid w:val="00A213A7"/>
    <w:rsid w:val="00A241A0"/>
    <w:rsid w:val="00A253E8"/>
    <w:rsid w:val="00A2563E"/>
    <w:rsid w:val="00A33172"/>
    <w:rsid w:val="00A34A6E"/>
    <w:rsid w:val="00A36002"/>
    <w:rsid w:val="00A431BD"/>
    <w:rsid w:val="00A4411B"/>
    <w:rsid w:val="00A4490E"/>
    <w:rsid w:val="00A45131"/>
    <w:rsid w:val="00A4523E"/>
    <w:rsid w:val="00A5331A"/>
    <w:rsid w:val="00A53406"/>
    <w:rsid w:val="00A621F0"/>
    <w:rsid w:val="00A63602"/>
    <w:rsid w:val="00A662A4"/>
    <w:rsid w:val="00A66951"/>
    <w:rsid w:val="00A7250F"/>
    <w:rsid w:val="00A769DA"/>
    <w:rsid w:val="00A80B1C"/>
    <w:rsid w:val="00A81BF6"/>
    <w:rsid w:val="00A84D92"/>
    <w:rsid w:val="00A914D8"/>
    <w:rsid w:val="00A92502"/>
    <w:rsid w:val="00A9308C"/>
    <w:rsid w:val="00AA6F6E"/>
    <w:rsid w:val="00AB63EA"/>
    <w:rsid w:val="00AC4A09"/>
    <w:rsid w:val="00AC5CD2"/>
    <w:rsid w:val="00AC60EE"/>
    <w:rsid w:val="00AC6567"/>
    <w:rsid w:val="00AC6E6F"/>
    <w:rsid w:val="00AC6F89"/>
    <w:rsid w:val="00AD4288"/>
    <w:rsid w:val="00AD5506"/>
    <w:rsid w:val="00AD79F3"/>
    <w:rsid w:val="00AE3C87"/>
    <w:rsid w:val="00AE40E9"/>
    <w:rsid w:val="00AE4A6B"/>
    <w:rsid w:val="00AF0C5C"/>
    <w:rsid w:val="00AF0FC6"/>
    <w:rsid w:val="00AF0FFA"/>
    <w:rsid w:val="00AF1F4F"/>
    <w:rsid w:val="00AF2A4B"/>
    <w:rsid w:val="00AF2B96"/>
    <w:rsid w:val="00AF711C"/>
    <w:rsid w:val="00AF795B"/>
    <w:rsid w:val="00B003DC"/>
    <w:rsid w:val="00B04FCD"/>
    <w:rsid w:val="00B076C8"/>
    <w:rsid w:val="00B07872"/>
    <w:rsid w:val="00B126D6"/>
    <w:rsid w:val="00B14FA8"/>
    <w:rsid w:val="00B156C0"/>
    <w:rsid w:val="00B17200"/>
    <w:rsid w:val="00B314FA"/>
    <w:rsid w:val="00B34E3C"/>
    <w:rsid w:val="00B37BEC"/>
    <w:rsid w:val="00B4050D"/>
    <w:rsid w:val="00B41D0E"/>
    <w:rsid w:val="00B509D4"/>
    <w:rsid w:val="00B510C2"/>
    <w:rsid w:val="00B515F7"/>
    <w:rsid w:val="00B541A6"/>
    <w:rsid w:val="00B5566A"/>
    <w:rsid w:val="00B55E3A"/>
    <w:rsid w:val="00B70847"/>
    <w:rsid w:val="00B709A7"/>
    <w:rsid w:val="00B71811"/>
    <w:rsid w:val="00B7420E"/>
    <w:rsid w:val="00B76E41"/>
    <w:rsid w:val="00B77EF6"/>
    <w:rsid w:val="00B8252C"/>
    <w:rsid w:val="00B86944"/>
    <w:rsid w:val="00B9130C"/>
    <w:rsid w:val="00B95674"/>
    <w:rsid w:val="00BA29B2"/>
    <w:rsid w:val="00BA3A25"/>
    <w:rsid w:val="00BA4B32"/>
    <w:rsid w:val="00BB650C"/>
    <w:rsid w:val="00BB7AEB"/>
    <w:rsid w:val="00BB7CB0"/>
    <w:rsid w:val="00BC1725"/>
    <w:rsid w:val="00BC21B0"/>
    <w:rsid w:val="00BC240F"/>
    <w:rsid w:val="00BC5024"/>
    <w:rsid w:val="00BC5CFF"/>
    <w:rsid w:val="00BC6EC7"/>
    <w:rsid w:val="00BD1445"/>
    <w:rsid w:val="00BD42D7"/>
    <w:rsid w:val="00BD5820"/>
    <w:rsid w:val="00BE733E"/>
    <w:rsid w:val="00BE747B"/>
    <w:rsid w:val="00BF1F67"/>
    <w:rsid w:val="00BF3F54"/>
    <w:rsid w:val="00BF5FE5"/>
    <w:rsid w:val="00BF7C08"/>
    <w:rsid w:val="00C01915"/>
    <w:rsid w:val="00C03D57"/>
    <w:rsid w:val="00C0518D"/>
    <w:rsid w:val="00C05713"/>
    <w:rsid w:val="00C06880"/>
    <w:rsid w:val="00C06CEF"/>
    <w:rsid w:val="00C13609"/>
    <w:rsid w:val="00C136EF"/>
    <w:rsid w:val="00C20075"/>
    <w:rsid w:val="00C20FF3"/>
    <w:rsid w:val="00C27DBD"/>
    <w:rsid w:val="00C33832"/>
    <w:rsid w:val="00C3624A"/>
    <w:rsid w:val="00C378A5"/>
    <w:rsid w:val="00C40523"/>
    <w:rsid w:val="00C438BD"/>
    <w:rsid w:val="00C43BFD"/>
    <w:rsid w:val="00C467D9"/>
    <w:rsid w:val="00C46D24"/>
    <w:rsid w:val="00C54DB8"/>
    <w:rsid w:val="00C553E6"/>
    <w:rsid w:val="00C57FEA"/>
    <w:rsid w:val="00C62020"/>
    <w:rsid w:val="00C6284B"/>
    <w:rsid w:val="00C64A5C"/>
    <w:rsid w:val="00C64FCF"/>
    <w:rsid w:val="00C713C7"/>
    <w:rsid w:val="00C71846"/>
    <w:rsid w:val="00C72CA9"/>
    <w:rsid w:val="00C748C2"/>
    <w:rsid w:val="00C7493C"/>
    <w:rsid w:val="00C7593F"/>
    <w:rsid w:val="00C77575"/>
    <w:rsid w:val="00C8357D"/>
    <w:rsid w:val="00C84667"/>
    <w:rsid w:val="00C84968"/>
    <w:rsid w:val="00C9027B"/>
    <w:rsid w:val="00C95FF7"/>
    <w:rsid w:val="00C97D21"/>
    <w:rsid w:val="00CA31C2"/>
    <w:rsid w:val="00CA5774"/>
    <w:rsid w:val="00CA5CFB"/>
    <w:rsid w:val="00CA6D4C"/>
    <w:rsid w:val="00CA7FD1"/>
    <w:rsid w:val="00CB2629"/>
    <w:rsid w:val="00CB5AF9"/>
    <w:rsid w:val="00CB7FAB"/>
    <w:rsid w:val="00CC0DFB"/>
    <w:rsid w:val="00CC17FC"/>
    <w:rsid w:val="00CC5BC1"/>
    <w:rsid w:val="00CC5F35"/>
    <w:rsid w:val="00CD039A"/>
    <w:rsid w:val="00CD24F1"/>
    <w:rsid w:val="00CD4573"/>
    <w:rsid w:val="00CE0D61"/>
    <w:rsid w:val="00CE3D74"/>
    <w:rsid w:val="00CE7074"/>
    <w:rsid w:val="00CF16F7"/>
    <w:rsid w:val="00CF1766"/>
    <w:rsid w:val="00CF192E"/>
    <w:rsid w:val="00CF325B"/>
    <w:rsid w:val="00CF3422"/>
    <w:rsid w:val="00CF3688"/>
    <w:rsid w:val="00CF6C29"/>
    <w:rsid w:val="00CF7A30"/>
    <w:rsid w:val="00D02295"/>
    <w:rsid w:val="00D024AF"/>
    <w:rsid w:val="00D03CFF"/>
    <w:rsid w:val="00D1086A"/>
    <w:rsid w:val="00D11DF8"/>
    <w:rsid w:val="00D17D1D"/>
    <w:rsid w:val="00D32C63"/>
    <w:rsid w:val="00D37858"/>
    <w:rsid w:val="00D566CD"/>
    <w:rsid w:val="00D6120A"/>
    <w:rsid w:val="00D7533D"/>
    <w:rsid w:val="00D76A69"/>
    <w:rsid w:val="00D843BA"/>
    <w:rsid w:val="00D87064"/>
    <w:rsid w:val="00D96684"/>
    <w:rsid w:val="00DA023D"/>
    <w:rsid w:val="00DA04C4"/>
    <w:rsid w:val="00DA3AAF"/>
    <w:rsid w:val="00DA4C1B"/>
    <w:rsid w:val="00DA7E60"/>
    <w:rsid w:val="00DB010C"/>
    <w:rsid w:val="00DB0159"/>
    <w:rsid w:val="00DB7439"/>
    <w:rsid w:val="00DC31FE"/>
    <w:rsid w:val="00DC404B"/>
    <w:rsid w:val="00DC456C"/>
    <w:rsid w:val="00DD351C"/>
    <w:rsid w:val="00DD5CF6"/>
    <w:rsid w:val="00DD651B"/>
    <w:rsid w:val="00DD7767"/>
    <w:rsid w:val="00DE00BF"/>
    <w:rsid w:val="00DE6047"/>
    <w:rsid w:val="00DE751E"/>
    <w:rsid w:val="00DF3035"/>
    <w:rsid w:val="00DF64DC"/>
    <w:rsid w:val="00E00287"/>
    <w:rsid w:val="00E01370"/>
    <w:rsid w:val="00E167FC"/>
    <w:rsid w:val="00E2054A"/>
    <w:rsid w:val="00E2070B"/>
    <w:rsid w:val="00E245D8"/>
    <w:rsid w:val="00E24E1F"/>
    <w:rsid w:val="00E277F8"/>
    <w:rsid w:val="00E27B9C"/>
    <w:rsid w:val="00E30459"/>
    <w:rsid w:val="00E32E64"/>
    <w:rsid w:val="00E34E0B"/>
    <w:rsid w:val="00E412CD"/>
    <w:rsid w:val="00E43A21"/>
    <w:rsid w:val="00E47524"/>
    <w:rsid w:val="00E47B47"/>
    <w:rsid w:val="00E54D9C"/>
    <w:rsid w:val="00E550B2"/>
    <w:rsid w:val="00E63B00"/>
    <w:rsid w:val="00E63F6E"/>
    <w:rsid w:val="00E678BD"/>
    <w:rsid w:val="00E73A4D"/>
    <w:rsid w:val="00E7420A"/>
    <w:rsid w:val="00E756EA"/>
    <w:rsid w:val="00E75914"/>
    <w:rsid w:val="00E7730E"/>
    <w:rsid w:val="00E77B4E"/>
    <w:rsid w:val="00E8494E"/>
    <w:rsid w:val="00E86A30"/>
    <w:rsid w:val="00E87F91"/>
    <w:rsid w:val="00E941E0"/>
    <w:rsid w:val="00E969A4"/>
    <w:rsid w:val="00EA1D72"/>
    <w:rsid w:val="00EB23F3"/>
    <w:rsid w:val="00EB5D23"/>
    <w:rsid w:val="00EB5FE4"/>
    <w:rsid w:val="00EB7679"/>
    <w:rsid w:val="00EC11FA"/>
    <w:rsid w:val="00EC16F3"/>
    <w:rsid w:val="00EC24A9"/>
    <w:rsid w:val="00EC2605"/>
    <w:rsid w:val="00EC5AEC"/>
    <w:rsid w:val="00EC6FAA"/>
    <w:rsid w:val="00EC7E95"/>
    <w:rsid w:val="00ED0005"/>
    <w:rsid w:val="00ED0576"/>
    <w:rsid w:val="00ED12AC"/>
    <w:rsid w:val="00ED3720"/>
    <w:rsid w:val="00ED3C9A"/>
    <w:rsid w:val="00ED3FE0"/>
    <w:rsid w:val="00ED5A84"/>
    <w:rsid w:val="00EE2656"/>
    <w:rsid w:val="00EE2902"/>
    <w:rsid w:val="00EF0010"/>
    <w:rsid w:val="00EF200A"/>
    <w:rsid w:val="00EF35FD"/>
    <w:rsid w:val="00EF537E"/>
    <w:rsid w:val="00EF5936"/>
    <w:rsid w:val="00EF668A"/>
    <w:rsid w:val="00F02253"/>
    <w:rsid w:val="00F05837"/>
    <w:rsid w:val="00F07D64"/>
    <w:rsid w:val="00F10DD5"/>
    <w:rsid w:val="00F14747"/>
    <w:rsid w:val="00F21CF0"/>
    <w:rsid w:val="00F24249"/>
    <w:rsid w:val="00F36C82"/>
    <w:rsid w:val="00F434FD"/>
    <w:rsid w:val="00F43A7E"/>
    <w:rsid w:val="00F43DE1"/>
    <w:rsid w:val="00F4563F"/>
    <w:rsid w:val="00F45F32"/>
    <w:rsid w:val="00F55E96"/>
    <w:rsid w:val="00F5695F"/>
    <w:rsid w:val="00F572E7"/>
    <w:rsid w:val="00F607B1"/>
    <w:rsid w:val="00F670A4"/>
    <w:rsid w:val="00F6755C"/>
    <w:rsid w:val="00F675DB"/>
    <w:rsid w:val="00F7196B"/>
    <w:rsid w:val="00F74156"/>
    <w:rsid w:val="00F75727"/>
    <w:rsid w:val="00F75932"/>
    <w:rsid w:val="00F76C72"/>
    <w:rsid w:val="00F76EEB"/>
    <w:rsid w:val="00F77259"/>
    <w:rsid w:val="00F83C58"/>
    <w:rsid w:val="00F855BC"/>
    <w:rsid w:val="00F9154F"/>
    <w:rsid w:val="00F91EB6"/>
    <w:rsid w:val="00F924C4"/>
    <w:rsid w:val="00F92E44"/>
    <w:rsid w:val="00F97A9E"/>
    <w:rsid w:val="00FA3F77"/>
    <w:rsid w:val="00FA40A8"/>
    <w:rsid w:val="00FA6D01"/>
    <w:rsid w:val="00FB0BEC"/>
    <w:rsid w:val="00FB1565"/>
    <w:rsid w:val="00FB4727"/>
    <w:rsid w:val="00FB4C40"/>
    <w:rsid w:val="00FB4D60"/>
    <w:rsid w:val="00FB5100"/>
    <w:rsid w:val="00FC1F6B"/>
    <w:rsid w:val="00FC3A5F"/>
    <w:rsid w:val="00FC6A7D"/>
    <w:rsid w:val="00FD25DA"/>
    <w:rsid w:val="00FD5BA7"/>
    <w:rsid w:val="00FD5F00"/>
    <w:rsid w:val="00FD7FBD"/>
    <w:rsid w:val="00FE014A"/>
    <w:rsid w:val="00FE435D"/>
    <w:rsid w:val="00FE5D4B"/>
    <w:rsid w:val="00FF2242"/>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EB6"/>
    <w:pPr>
      <w:spacing w:after="200" w:line="276" w:lineRule="auto"/>
    </w:pPr>
    <w:rPr>
      <w:rFonts w:cs="Calibri"/>
      <w:lang w:eastAsia="en-US"/>
    </w:rPr>
  </w:style>
  <w:style w:type="paragraph" w:styleId="Heading1">
    <w:name w:val="heading 1"/>
    <w:basedOn w:val="Normal"/>
    <w:next w:val="Normal"/>
    <w:link w:val="Heading1Char"/>
    <w:uiPriority w:val="99"/>
    <w:qFormat/>
    <w:rsid w:val="00F77259"/>
    <w:pPr>
      <w:keepNext/>
      <w:keepLines/>
      <w:numPr>
        <w:numId w:val="6"/>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F77259"/>
    <w:pPr>
      <w:keepNext/>
      <w:keepLines/>
      <w:numPr>
        <w:ilvl w:val="1"/>
        <w:numId w:val="6"/>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367E7C"/>
    <w:pPr>
      <w:keepNext/>
      <w:numPr>
        <w:ilvl w:val="2"/>
        <w:numId w:val="6"/>
      </w:numPr>
      <w:tabs>
        <w:tab w:val="left" w:pos="1191"/>
        <w:tab w:val="left" w:pos="1531"/>
      </w:tabs>
      <w:spacing w:before="240" w:after="240" w:line="240" w:lineRule="auto"/>
      <w:jc w:val="both"/>
      <w:outlineLvl w:val="2"/>
    </w:pPr>
    <w:rPr>
      <w:rFonts w:ascii="Times New Roman" w:eastAsia="SimSun" w:hAnsi="Times New Roman" w:cs="Times New Roman"/>
      <w:b/>
      <w:bCs/>
      <w:sz w:val="24"/>
      <w:szCs w:val="24"/>
      <w:lang w:val="en-GB" w:eastAsia="fr-FR"/>
    </w:rPr>
  </w:style>
  <w:style w:type="paragraph" w:styleId="Heading4">
    <w:name w:val="heading 4"/>
    <w:basedOn w:val="Normal"/>
    <w:next w:val="Normal"/>
    <w:link w:val="Heading4Char"/>
    <w:uiPriority w:val="99"/>
    <w:qFormat/>
    <w:rsid w:val="00F77259"/>
    <w:pPr>
      <w:keepNext/>
      <w:keepLines/>
      <w:numPr>
        <w:ilvl w:val="3"/>
        <w:numId w:val="6"/>
      </w:numPr>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7259"/>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F77259"/>
    <w:rPr>
      <w:rFonts w:ascii="Cambria" w:hAnsi="Cambria" w:cs="Cambria"/>
      <w:b/>
      <w:bCs/>
      <w:color w:val="4F81BD"/>
      <w:sz w:val="26"/>
      <w:szCs w:val="26"/>
    </w:rPr>
  </w:style>
  <w:style w:type="character" w:customStyle="1" w:styleId="Heading3Char">
    <w:name w:val="Heading 3 Char"/>
    <w:basedOn w:val="DefaultParagraphFont"/>
    <w:link w:val="Heading3"/>
    <w:uiPriority w:val="99"/>
    <w:locked/>
    <w:rsid w:val="00367E7C"/>
    <w:rPr>
      <w:rFonts w:ascii="Times New Roman" w:eastAsia="SimSun" w:hAnsi="Times New Roman" w:cs="Times New Roman"/>
      <w:b/>
      <w:bCs/>
      <w:sz w:val="24"/>
      <w:szCs w:val="24"/>
      <w:lang w:val="en-GB" w:eastAsia="fr-FR"/>
    </w:rPr>
  </w:style>
  <w:style w:type="character" w:customStyle="1" w:styleId="Heading4Char">
    <w:name w:val="Heading 4 Char"/>
    <w:basedOn w:val="DefaultParagraphFont"/>
    <w:link w:val="Heading4"/>
    <w:uiPriority w:val="99"/>
    <w:semiHidden/>
    <w:locked/>
    <w:rsid w:val="00F77259"/>
    <w:rPr>
      <w:rFonts w:ascii="Cambria" w:hAnsi="Cambria" w:cs="Cambria"/>
      <w:b/>
      <w:bCs/>
      <w:i/>
      <w:iCs/>
      <w:color w:val="4F81BD"/>
    </w:rPr>
  </w:style>
  <w:style w:type="paragraph" w:styleId="ListParagraph">
    <w:name w:val="List Paragraph"/>
    <w:basedOn w:val="Normal"/>
    <w:uiPriority w:val="99"/>
    <w:qFormat/>
    <w:rsid w:val="0001363D"/>
    <w:pPr>
      <w:ind w:left="720"/>
    </w:pPr>
  </w:style>
  <w:style w:type="paragraph" w:styleId="BalloonText">
    <w:name w:val="Balloon Text"/>
    <w:basedOn w:val="Normal"/>
    <w:link w:val="BalloonTextChar"/>
    <w:uiPriority w:val="99"/>
    <w:semiHidden/>
    <w:rsid w:val="00060A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0A73"/>
    <w:rPr>
      <w:rFonts w:ascii="Tahoma" w:hAnsi="Tahoma" w:cs="Tahoma"/>
      <w:sz w:val="16"/>
      <w:szCs w:val="16"/>
    </w:rPr>
  </w:style>
  <w:style w:type="paragraph" w:customStyle="1" w:styleId="Default">
    <w:name w:val="Default"/>
    <w:uiPriority w:val="99"/>
    <w:rsid w:val="00A179A0"/>
    <w:pPr>
      <w:autoSpaceDE w:val="0"/>
      <w:autoSpaceDN w:val="0"/>
      <w:adjustRightInd w:val="0"/>
    </w:pPr>
    <w:rPr>
      <w:color w:val="000000"/>
      <w:sz w:val="24"/>
      <w:szCs w:val="24"/>
      <w:lang w:eastAsia="en-US"/>
    </w:rPr>
  </w:style>
  <w:style w:type="paragraph" w:styleId="NormalWeb">
    <w:name w:val="Normal (Web)"/>
    <w:basedOn w:val="Normal"/>
    <w:uiPriority w:val="99"/>
    <w:rsid w:val="006973A3"/>
    <w:rPr>
      <w:rFonts w:cs="Arial"/>
      <w:sz w:val="24"/>
      <w:szCs w:val="24"/>
    </w:rPr>
  </w:style>
  <w:style w:type="paragraph" w:styleId="FootnoteText">
    <w:name w:val="footnote text"/>
    <w:basedOn w:val="Normal"/>
    <w:link w:val="FootnoteTextChar"/>
    <w:uiPriority w:val="99"/>
    <w:semiHidden/>
    <w:rsid w:val="006973A3"/>
    <w:pPr>
      <w:spacing w:after="0" w:line="240" w:lineRule="auto"/>
    </w:pPr>
    <w:rPr>
      <w:sz w:val="20"/>
      <w:szCs w:val="20"/>
      <w:lang w:eastAsia="fr-FR"/>
    </w:rPr>
  </w:style>
  <w:style w:type="character" w:customStyle="1" w:styleId="FootnoteTextChar">
    <w:name w:val="Footnote Text Char"/>
    <w:basedOn w:val="DefaultParagraphFont"/>
    <w:link w:val="FootnoteText"/>
    <w:uiPriority w:val="99"/>
    <w:semiHidden/>
    <w:locked/>
    <w:rsid w:val="006973A3"/>
    <w:rPr>
      <w:rFonts w:ascii="Calibri" w:eastAsia="Times New Roman" w:hAnsi="Calibri" w:cs="Calibri"/>
      <w:sz w:val="20"/>
      <w:szCs w:val="20"/>
      <w:lang/>
    </w:rPr>
  </w:style>
  <w:style w:type="character" w:styleId="FootnoteReference">
    <w:name w:val="footnote reference"/>
    <w:basedOn w:val="DefaultParagraphFont"/>
    <w:uiPriority w:val="99"/>
    <w:semiHidden/>
    <w:rsid w:val="006973A3"/>
    <w:rPr>
      <w:vertAlign w:val="superscript"/>
    </w:rPr>
  </w:style>
  <w:style w:type="character" w:styleId="Hyperlink">
    <w:name w:val="Hyperlink"/>
    <w:basedOn w:val="DefaultParagraphFont"/>
    <w:uiPriority w:val="99"/>
    <w:rsid w:val="006973A3"/>
    <w:rPr>
      <w:color w:val="0000FF"/>
      <w:u w:val="single"/>
    </w:rPr>
  </w:style>
  <w:style w:type="paragraph" w:styleId="Header">
    <w:name w:val="header"/>
    <w:basedOn w:val="Normal"/>
    <w:link w:val="HeaderChar"/>
    <w:uiPriority w:val="99"/>
    <w:rsid w:val="000655F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655F9"/>
  </w:style>
  <w:style w:type="paragraph" w:styleId="Footer">
    <w:name w:val="footer"/>
    <w:basedOn w:val="Normal"/>
    <w:link w:val="FooterChar"/>
    <w:uiPriority w:val="99"/>
    <w:rsid w:val="000655F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655F9"/>
  </w:style>
  <w:style w:type="table" w:styleId="TableGrid">
    <w:name w:val="Table Grid"/>
    <w:basedOn w:val="TableNormal"/>
    <w:uiPriority w:val="99"/>
    <w:rsid w:val="00FB472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08B561879E4FA493D43F06B79E341D">
    <w:name w:val="1908B561879E4FA493D43F06B79E341D"/>
    <w:uiPriority w:val="99"/>
    <w:rsid w:val="00C33832"/>
    <w:pPr>
      <w:spacing w:after="200" w:line="276" w:lineRule="auto"/>
    </w:pPr>
    <w:rPr>
      <w:rFonts w:eastAsia="Times New Roman" w:cs="Calibri"/>
    </w:rPr>
  </w:style>
  <w:style w:type="paragraph" w:customStyle="1" w:styleId="Char1">
    <w:name w:val="Char1"/>
    <w:basedOn w:val="Normal"/>
    <w:uiPriority w:val="99"/>
    <w:rsid w:val="0092195F"/>
    <w:pPr>
      <w:spacing w:after="160" w:line="240" w:lineRule="exact"/>
    </w:pPr>
    <w:rPr>
      <w:rFonts w:ascii="Verdana" w:eastAsia="Times New Roman" w:hAnsi="Verdana" w:cs="Verdana"/>
      <w:sz w:val="20"/>
      <w:szCs w:val="20"/>
      <w:lang w:val="en-US"/>
    </w:rPr>
  </w:style>
  <w:style w:type="table" w:customStyle="1" w:styleId="Tabelraster1">
    <w:name w:val="Tabelraster1"/>
    <w:uiPriority w:val="99"/>
    <w:rsid w:val="001644B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2">
    <w:name w:val="Tabelraster2"/>
    <w:uiPriority w:val="99"/>
    <w:rsid w:val="00AD79F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1">
    <w:name w:val="Tabelraster11"/>
    <w:uiPriority w:val="99"/>
    <w:rsid w:val="00AD79F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2">
    <w:name w:val="Tabelraster12"/>
    <w:uiPriority w:val="99"/>
    <w:rsid w:val="00F91EB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debullesCar1">
    <w:name w:val="Texte de bulles Car1"/>
    <w:basedOn w:val="DefaultParagraphFont"/>
    <w:uiPriority w:val="99"/>
    <w:semiHidden/>
    <w:rsid w:val="00BA29B2"/>
    <w:rPr>
      <w:rFonts w:ascii="Tahoma" w:hAnsi="Tahoma" w:cs="Tahoma"/>
      <w:sz w:val="16"/>
      <w:szCs w:val="16"/>
    </w:rPr>
  </w:style>
  <w:style w:type="character" w:styleId="Emphasis">
    <w:name w:val="Emphasis"/>
    <w:basedOn w:val="DefaultParagraphFont"/>
    <w:uiPriority w:val="99"/>
    <w:qFormat/>
    <w:rsid w:val="00F75932"/>
    <w:rPr>
      <w:i/>
      <w:iCs/>
    </w:rPr>
  </w:style>
  <w:style w:type="paragraph" w:styleId="Revision">
    <w:name w:val="Revision"/>
    <w:hidden/>
    <w:uiPriority w:val="99"/>
    <w:semiHidden/>
    <w:rsid w:val="00155AEB"/>
    <w:rPr>
      <w:rFonts w:cs="Calibri"/>
      <w:lang w:eastAsia="en-US"/>
    </w:rPr>
  </w:style>
  <w:style w:type="paragraph" w:customStyle="1" w:styleId="Blockquote">
    <w:name w:val="Blockquote"/>
    <w:basedOn w:val="Normal"/>
    <w:uiPriority w:val="99"/>
    <w:rsid w:val="007842C8"/>
    <w:pPr>
      <w:widowControl w:val="0"/>
      <w:spacing w:before="100" w:after="100" w:line="240" w:lineRule="auto"/>
      <w:ind w:left="360" w:right="360"/>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003321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lmahdaoui@maec.gov.ma"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http://www.quid.fr/qm/dp_etats/ma_dp_bd.pn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fr.wikipedia.org/wiki/Fleuve" TargetMode="External"/><Relationship Id="rId2" Type="http://schemas.openxmlformats.org/officeDocument/2006/relationships/hyperlink" Target="http://fr.wikipedia.org/wiki/Bassins_versants" TargetMode="External"/><Relationship Id="rId1" Type="http://schemas.openxmlformats.org/officeDocument/2006/relationships/hyperlink" Target="http://fr.wikipedia.org/wiki/Partenariat_mondial_de_l%27eau" TargetMode="External"/><Relationship Id="rId4" Type="http://schemas.openxmlformats.org/officeDocument/2006/relationships/hyperlink" Target="http://fr.wikipedia.org/wiki/Ressources_en_e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64</Pages>
  <Words>16714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dc:description/>
  <cp:lastModifiedBy/>
  <cp:revision>2</cp:revision>
  <dcterms:created xsi:type="dcterms:W3CDTF">2014-07-07T15:11:00Z</dcterms:created>
  <dcterms:modified xsi:type="dcterms:W3CDTF">2014-07-07T15:11:00Z</dcterms:modified>
</cp:coreProperties>
</file>